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7273EA0D" w:rsidR="00E90E49" w:rsidRPr="005D66A0" w:rsidRDefault="00E90E49" w:rsidP="00E35559">
      <w:pPr>
        <w:pStyle w:val="3GPPHeader"/>
        <w:spacing w:after="60"/>
        <w:rPr>
          <w:sz w:val="32"/>
          <w:szCs w:val="32"/>
        </w:rPr>
      </w:pPr>
      <w:r w:rsidRPr="005D66A0">
        <w:t>3GPP TSG-RAN WG</w:t>
      </w:r>
      <w:r w:rsidR="008F1C4E" w:rsidRPr="005D66A0">
        <w:t>1</w:t>
      </w:r>
      <w:r w:rsidRPr="005D66A0">
        <w:t xml:space="preserve"> </w:t>
      </w:r>
      <w:r w:rsidR="008F1C4E" w:rsidRPr="005D66A0">
        <w:t xml:space="preserve">Meeting </w:t>
      </w:r>
      <w:r w:rsidRPr="005D66A0">
        <w:t>#</w:t>
      </w:r>
      <w:r w:rsidR="00CE0BF7" w:rsidRPr="005D66A0">
        <w:t>9</w:t>
      </w:r>
      <w:r w:rsidR="00881638" w:rsidRPr="005D66A0">
        <w:t>4</w:t>
      </w:r>
      <w:r w:rsidRPr="005D66A0">
        <w:tab/>
      </w:r>
      <w:r w:rsidR="003A159B" w:rsidRPr="005D66A0">
        <w:t>R1-1809313</w:t>
      </w:r>
    </w:p>
    <w:p w14:paraId="51C3D3E7" w14:textId="22235805" w:rsidR="00E90E49" w:rsidRPr="005D66A0" w:rsidRDefault="00881638" w:rsidP="00311702">
      <w:pPr>
        <w:pStyle w:val="3GPPHeader"/>
      </w:pPr>
      <w:r w:rsidRPr="005D66A0">
        <w:t>Gothenburg</w:t>
      </w:r>
      <w:r w:rsidR="0027144F" w:rsidRPr="005D66A0">
        <w:t xml:space="preserve">, </w:t>
      </w:r>
      <w:r w:rsidRPr="005D66A0">
        <w:t>Sweden</w:t>
      </w:r>
      <w:r w:rsidR="0027144F" w:rsidRPr="005D66A0">
        <w:t xml:space="preserve">, </w:t>
      </w:r>
      <w:r w:rsidRPr="005D66A0">
        <w:t>August</w:t>
      </w:r>
      <w:r w:rsidR="00CE0BF7" w:rsidRPr="005D66A0">
        <w:t xml:space="preserve"> 2</w:t>
      </w:r>
      <w:r w:rsidRPr="005D66A0">
        <w:t>0</w:t>
      </w:r>
      <w:r w:rsidR="00CE0BF7" w:rsidRPr="005D66A0">
        <w:rPr>
          <w:vertAlign w:val="superscript"/>
        </w:rPr>
        <w:t>st</w:t>
      </w:r>
      <w:r w:rsidR="00CE0BF7" w:rsidRPr="005D66A0">
        <w:t xml:space="preserve"> – 2</w:t>
      </w:r>
      <w:r w:rsidRPr="005D66A0">
        <w:t>4</w:t>
      </w:r>
      <w:r w:rsidR="00CE0BF7" w:rsidRPr="005D66A0">
        <w:rPr>
          <w:vertAlign w:val="superscript"/>
        </w:rPr>
        <w:t>th</w:t>
      </w:r>
      <w:r w:rsidR="00C37CB2" w:rsidRPr="005D66A0">
        <w:t xml:space="preserve"> </w:t>
      </w:r>
      <w:r w:rsidR="0027144F" w:rsidRPr="005D66A0">
        <w:t>20</w:t>
      </w:r>
      <w:r w:rsidR="005F3025" w:rsidRPr="005D66A0">
        <w:t>1</w:t>
      </w:r>
      <w:r w:rsidR="001D53E7" w:rsidRPr="005D66A0">
        <w:t>8</w:t>
      </w:r>
    </w:p>
    <w:p w14:paraId="60A5317D" w14:textId="77777777" w:rsidR="00E90E49" w:rsidRPr="005D66A0" w:rsidRDefault="00E90E49" w:rsidP="00357380">
      <w:pPr>
        <w:pStyle w:val="3GPPHeader"/>
      </w:pPr>
    </w:p>
    <w:p w14:paraId="3C6869D1" w14:textId="794A6A56" w:rsidR="00E90E49" w:rsidRPr="005D66A0" w:rsidRDefault="00E90E49" w:rsidP="00311702">
      <w:pPr>
        <w:pStyle w:val="3GPPHeader"/>
        <w:rPr>
          <w:sz w:val="22"/>
          <w:szCs w:val="22"/>
          <w:lang w:val="en-US"/>
        </w:rPr>
      </w:pPr>
      <w:r w:rsidRPr="005D66A0">
        <w:rPr>
          <w:sz w:val="22"/>
          <w:szCs w:val="22"/>
          <w:lang w:val="en-US"/>
        </w:rPr>
        <w:t>Agenda Item:</w:t>
      </w:r>
      <w:r w:rsidRPr="005D66A0">
        <w:rPr>
          <w:sz w:val="22"/>
          <w:szCs w:val="22"/>
          <w:lang w:val="en-US"/>
        </w:rPr>
        <w:tab/>
      </w:r>
      <w:r w:rsidR="00AD57C6" w:rsidRPr="005D66A0">
        <w:rPr>
          <w:sz w:val="22"/>
          <w:szCs w:val="22"/>
          <w:lang w:val="en-US"/>
        </w:rPr>
        <w:t>7</w:t>
      </w:r>
      <w:r w:rsidR="00311702" w:rsidRPr="005D66A0">
        <w:rPr>
          <w:sz w:val="22"/>
          <w:szCs w:val="22"/>
          <w:lang w:val="en-US"/>
        </w:rPr>
        <w:t>.</w:t>
      </w:r>
      <w:r w:rsidR="00AD57C6" w:rsidRPr="005D66A0">
        <w:rPr>
          <w:sz w:val="22"/>
          <w:szCs w:val="22"/>
          <w:lang w:val="en-US"/>
        </w:rPr>
        <w:t>2</w:t>
      </w:r>
      <w:r w:rsidR="00311702" w:rsidRPr="005D66A0">
        <w:rPr>
          <w:sz w:val="22"/>
          <w:szCs w:val="22"/>
          <w:lang w:val="en-US"/>
        </w:rPr>
        <w:t>.</w:t>
      </w:r>
      <w:r w:rsidR="00AD57C6" w:rsidRPr="005D66A0">
        <w:rPr>
          <w:sz w:val="22"/>
          <w:szCs w:val="22"/>
          <w:lang w:val="en-US"/>
        </w:rPr>
        <w:t>4</w:t>
      </w:r>
      <w:r w:rsidR="00311702" w:rsidRPr="005D66A0">
        <w:rPr>
          <w:sz w:val="22"/>
          <w:szCs w:val="22"/>
          <w:lang w:val="en-US"/>
        </w:rPr>
        <w:t>.</w:t>
      </w:r>
      <w:r w:rsidR="00AD57C6" w:rsidRPr="005D66A0">
        <w:rPr>
          <w:sz w:val="22"/>
          <w:szCs w:val="22"/>
          <w:lang w:val="en-US"/>
        </w:rPr>
        <w:t>5</w:t>
      </w:r>
    </w:p>
    <w:p w14:paraId="0CB055DD" w14:textId="77777777" w:rsidR="00E90E49" w:rsidRPr="005D66A0" w:rsidRDefault="003D3C45" w:rsidP="00F64C2B">
      <w:pPr>
        <w:pStyle w:val="3GPPHeader"/>
        <w:rPr>
          <w:sz w:val="22"/>
          <w:szCs w:val="22"/>
        </w:rPr>
      </w:pPr>
      <w:r w:rsidRPr="005D66A0">
        <w:rPr>
          <w:sz w:val="22"/>
          <w:szCs w:val="22"/>
        </w:rPr>
        <w:t>Source:</w:t>
      </w:r>
      <w:r w:rsidR="00E90E49" w:rsidRPr="005D66A0">
        <w:rPr>
          <w:sz w:val="22"/>
          <w:szCs w:val="22"/>
        </w:rPr>
        <w:tab/>
      </w:r>
      <w:r w:rsidR="00F64C2B" w:rsidRPr="005D66A0">
        <w:rPr>
          <w:sz w:val="22"/>
          <w:szCs w:val="22"/>
        </w:rPr>
        <w:t>Ericsson</w:t>
      </w:r>
    </w:p>
    <w:p w14:paraId="63DAB814" w14:textId="4BF506DA" w:rsidR="00E90E49" w:rsidRPr="005D66A0" w:rsidRDefault="003D3C45" w:rsidP="00311702">
      <w:pPr>
        <w:pStyle w:val="3GPPHeader"/>
        <w:rPr>
          <w:sz w:val="22"/>
          <w:szCs w:val="22"/>
        </w:rPr>
      </w:pPr>
      <w:r w:rsidRPr="005D66A0">
        <w:rPr>
          <w:sz w:val="22"/>
          <w:szCs w:val="22"/>
        </w:rPr>
        <w:t>Title:</w:t>
      </w:r>
      <w:r w:rsidR="00E90E49" w:rsidRPr="005D66A0">
        <w:rPr>
          <w:sz w:val="22"/>
          <w:szCs w:val="22"/>
        </w:rPr>
        <w:tab/>
      </w:r>
      <w:r w:rsidR="00372264" w:rsidRPr="005D66A0">
        <w:rPr>
          <w:sz w:val="22"/>
          <w:szCs w:val="22"/>
        </w:rPr>
        <w:t>On c</w:t>
      </w:r>
      <w:r w:rsidR="00AD57C6" w:rsidRPr="005D66A0">
        <w:rPr>
          <w:sz w:val="22"/>
          <w:szCs w:val="22"/>
        </w:rPr>
        <w:t>oexistence aspects of NR V2X</w:t>
      </w:r>
      <w:r w:rsidR="0015119A" w:rsidRPr="005D66A0">
        <w:rPr>
          <w:sz w:val="22"/>
          <w:szCs w:val="22"/>
        </w:rPr>
        <w:t xml:space="preserve"> </w:t>
      </w:r>
    </w:p>
    <w:p w14:paraId="58D4CB54" w14:textId="77777777" w:rsidR="00E90E49" w:rsidRPr="005D66A0" w:rsidRDefault="00E90E49" w:rsidP="00D546FF">
      <w:pPr>
        <w:pStyle w:val="3GPPHeader"/>
        <w:rPr>
          <w:sz w:val="22"/>
          <w:szCs w:val="22"/>
        </w:rPr>
      </w:pPr>
      <w:r w:rsidRPr="005D66A0">
        <w:rPr>
          <w:sz w:val="22"/>
          <w:szCs w:val="22"/>
        </w:rPr>
        <w:t>Document for:</w:t>
      </w:r>
      <w:r w:rsidRPr="005D66A0">
        <w:rPr>
          <w:sz w:val="22"/>
          <w:szCs w:val="22"/>
        </w:rPr>
        <w:tab/>
        <w:t>Discussion, Decision</w:t>
      </w:r>
    </w:p>
    <w:p w14:paraId="09FE4FCF" w14:textId="77777777" w:rsidR="00E90E49" w:rsidRPr="005D66A0" w:rsidRDefault="00230D18" w:rsidP="00CE0424">
      <w:pPr>
        <w:pStyle w:val="Heading1"/>
      </w:pPr>
      <w:r w:rsidRPr="005D66A0">
        <w:t>1</w:t>
      </w:r>
      <w:r w:rsidRPr="005D66A0">
        <w:tab/>
      </w:r>
      <w:r w:rsidR="00E90E49" w:rsidRPr="005D66A0">
        <w:t>Introduction</w:t>
      </w:r>
    </w:p>
    <w:p w14:paraId="3A87FFAA" w14:textId="57F186AB" w:rsidR="00881638" w:rsidRPr="005D66A0" w:rsidRDefault="00881638" w:rsidP="00CE0424">
      <w:pPr>
        <w:pStyle w:val="BodyText"/>
      </w:pPr>
      <w:r w:rsidRPr="005D66A0">
        <w:t>RAN plenary #</w:t>
      </w:r>
      <w:r w:rsidR="007D73F4" w:rsidRPr="005D66A0">
        <w:t>80</w:t>
      </w:r>
      <w:r w:rsidR="00CA599B" w:rsidRPr="005D66A0">
        <w:t xml:space="preserve"> </w:t>
      </w:r>
      <w:r w:rsidR="007D73F4" w:rsidRPr="005D66A0">
        <w:t>approved</w:t>
      </w:r>
      <w:r w:rsidRPr="005D66A0">
        <w:t xml:space="preserve"> a </w:t>
      </w:r>
      <w:r w:rsidR="00CA599B" w:rsidRPr="005D66A0">
        <w:t>s</w:t>
      </w:r>
      <w:r w:rsidRPr="005D66A0">
        <w:t xml:space="preserve">tudy item </w:t>
      </w:r>
      <w:r w:rsidR="007D73F4" w:rsidRPr="005D66A0">
        <w:t>on</w:t>
      </w:r>
      <w:r w:rsidRPr="005D66A0">
        <w:t xml:space="preserve"> NR V2X</w:t>
      </w:r>
      <w:r w:rsidR="00C74FB7" w:rsidRPr="005D66A0">
        <w:t xml:space="preserve"> </w:t>
      </w:r>
      <w:r w:rsidR="00C74FB7" w:rsidRPr="005D66A0">
        <w:fldChar w:fldCharType="begin"/>
      </w:r>
      <w:r w:rsidR="00C74FB7" w:rsidRPr="005D66A0">
        <w:instrText xml:space="preserve"> REF _Ref517523976 \r \h </w:instrText>
      </w:r>
      <w:r w:rsidR="005D66A0">
        <w:instrText xml:space="preserve"> \* MERGEFORMAT </w:instrText>
      </w:r>
      <w:r w:rsidR="00C74FB7" w:rsidRPr="005D66A0">
        <w:fldChar w:fldCharType="separate"/>
      </w:r>
      <w:r w:rsidR="00C74FB7" w:rsidRPr="005D66A0">
        <w:t>[1]</w:t>
      </w:r>
      <w:r w:rsidR="00C74FB7" w:rsidRPr="005D66A0">
        <w:fldChar w:fldCharType="end"/>
      </w:r>
      <w:r w:rsidR="007D73F4" w:rsidRPr="005D66A0">
        <w:t xml:space="preserve">. This study item </w:t>
      </w:r>
      <w:r w:rsidR="005C6A88" w:rsidRPr="005D66A0">
        <w:t>targets, among other objectives,</w:t>
      </w:r>
      <w:r w:rsidR="001154DE" w:rsidRPr="005D66A0">
        <w:t xml:space="preserve"> </w:t>
      </w:r>
      <w:r w:rsidR="00537036" w:rsidRPr="005D66A0">
        <w:t xml:space="preserve">the mechanisms for </w:t>
      </w:r>
      <w:r w:rsidR="0063437A" w:rsidRPr="005D66A0">
        <w:t xml:space="preserve">coexistence of NR </w:t>
      </w:r>
      <w:r w:rsidR="001154DE" w:rsidRPr="005D66A0">
        <w:t>V2X, detailed as below:</w:t>
      </w:r>
    </w:p>
    <w:tbl>
      <w:tblPr>
        <w:tblStyle w:val="TableGrid"/>
        <w:tblW w:w="0" w:type="auto"/>
        <w:tblInd w:w="45" w:type="dxa"/>
        <w:tblLook w:val="04A0" w:firstRow="1" w:lastRow="0" w:firstColumn="1" w:lastColumn="0" w:noHBand="0" w:noVBand="1"/>
      </w:tblPr>
      <w:tblGrid>
        <w:gridCol w:w="9584"/>
      </w:tblGrid>
      <w:tr w:rsidR="00CA599B" w:rsidRPr="005D66A0" w14:paraId="4FD77F61" w14:textId="77777777" w:rsidTr="00CA599B">
        <w:tc>
          <w:tcPr>
            <w:tcW w:w="9629" w:type="dxa"/>
          </w:tcPr>
          <w:p w14:paraId="0177E0DD" w14:textId="77777777" w:rsidR="00CA599B" w:rsidRPr="005D66A0" w:rsidRDefault="00CA599B" w:rsidP="00CA599B">
            <w:pPr>
              <w:ind w:left="45"/>
              <w:rPr>
                <w:i/>
                <w:lang w:val="en-US" w:eastAsia="ko-KR"/>
              </w:rPr>
            </w:pPr>
            <w:r w:rsidRPr="005D66A0">
              <w:rPr>
                <w:b/>
                <w:bCs/>
                <w:i/>
                <w:lang w:val="en-US" w:eastAsia="ko-KR"/>
              </w:rPr>
              <w:t>Coexistence [RAN1]:</w:t>
            </w:r>
            <w:r w:rsidRPr="005D66A0">
              <w:rPr>
                <w:i/>
                <w:lang w:val="en-US" w:eastAsia="ko-KR"/>
              </w:rPr>
              <w:t xml:space="preserve">  </w:t>
            </w:r>
          </w:p>
          <w:p w14:paraId="6EFA3727" w14:textId="77777777" w:rsidR="00CA599B" w:rsidRPr="005D66A0" w:rsidRDefault="00CA599B" w:rsidP="00CA599B">
            <w:pPr>
              <w:pStyle w:val="ListParagraph"/>
              <w:numPr>
                <w:ilvl w:val="0"/>
                <w:numId w:val="28"/>
              </w:numPr>
              <w:overflowPunct/>
              <w:autoSpaceDE/>
              <w:autoSpaceDN/>
              <w:adjustRightInd/>
              <w:contextualSpacing/>
              <w:jc w:val="both"/>
              <w:textAlignment w:val="auto"/>
              <w:rPr>
                <w:rFonts w:ascii="Times New Roman" w:hAnsi="Times New Roman"/>
                <w:i/>
                <w:sz w:val="20"/>
                <w:szCs w:val="20"/>
                <w:lang w:val="en-US"/>
              </w:rPr>
            </w:pPr>
            <w:r w:rsidRPr="005D66A0">
              <w:rPr>
                <w:rFonts w:ascii="Times New Roman" w:hAnsi="Times New Roman"/>
                <w:i/>
                <w:sz w:val="20"/>
                <w:szCs w:val="20"/>
                <w:lang w:val="en-US" w:eastAsia="ko-KR"/>
              </w:rPr>
              <w:t xml:space="preserve">In-device coexistence: Study </w:t>
            </w:r>
            <w:r w:rsidRPr="005D66A0">
              <w:rPr>
                <w:rFonts w:ascii="Times New Roman" w:hAnsi="Times New Roman"/>
                <w:i/>
                <w:sz w:val="20"/>
                <w:szCs w:val="20"/>
                <w:lang w:val="en-US" w:eastAsia="zh-CN"/>
              </w:rPr>
              <w:t xml:space="preserve">the feasibility of the coexistence </w:t>
            </w:r>
            <w:r w:rsidRPr="005D66A0">
              <w:rPr>
                <w:rFonts w:ascii="Times New Roman" w:hAnsi="Times New Roman"/>
                <w:i/>
                <w:sz w:val="20"/>
                <w:szCs w:val="20"/>
                <w:lang w:val="en-US" w:eastAsia="ko-KR"/>
              </w:rPr>
              <w:t>mechanisms</w:t>
            </w:r>
            <w:r w:rsidRPr="005D66A0">
              <w:rPr>
                <w:rFonts w:ascii="Times New Roman" w:hAnsi="Times New Roman"/>
                <w:i/>
                <w:sz w:val="20"/>
                <w:szCs w:val="20"/>
                <w:lang w:val="en-US" w:eastAsia="zh-CN"/>
              </w:rPr>
              <w:t xml:space="preserve"> when NR sidelink and LTE sidelink technologies are equipped in the same vehicle for the ‘not co-channel’ scenario</w:t>
            </w:r>
            <w:r w:rsidRPr="005D66A0">
              <w:rPr>
                <w:rFonts w:ascii="Times New Roman" w:hAnsi="Times New Roman"/>
                <w:i/>
                <w:sz w:val="20"/>
                <w:szCs w:val="20"/>
                <w:lang w:val="en-US"/>
              </w:rPr>
              <w:t xml:space="preserve">: </w:t>
            </w:r>
          </w:p>
          <w:p w14:paraId="1022CE34" w14:textId="77777777" w:rsidR="00CA599B" w:rsidRPr="005D66A0" w:rsidRDefault="00CA599B" w:rsidP="00CA599B">
            <w:pPr>
              <w:pStyle w:val="ListParagraph"/>
              <w:numPr>
                <w:ilvl w:val="0"/>
                <w:numId w:val="28"/>
              </w:numPr>
              <w:overflowPunct/>
              <w:autoSpaceDE/>
              <w:autoSpaceDN/>
              <w:adjustRightInd/>
              <w:contextualSpacing/>
              <w:jc w:val="both"/>
              <w:textAlignment w:val="auto"/>
              <w:rPr>
                <w:rFonts w:ascii="Times New Roman" w:hAnsi="Times New Roman"/>
                <w:i/>
                <w:sz w:val="20"/>
                <w:szCs w:val="20"/>
                <w:lang w:val="en-US"/>
              </w:rPr>
            </w:pPr>
            <w:r w:rsidRPr="005D66A0">
              <w:rPr>
                <w:rFonts w:ascii="Times New Roman" w:hAnsi="Times New Roman"/>
                <w:i/>
                <w:sz w:val="20"/>
                <w:szCs w:val="20"/>
                <w:lang w:val="en-US"/>
              </w:rPr>
              <w:t>Advanced V2X services provided by NR sidelink coexisting with V2X service provided by LTE sidelink in different channels (i.e., not co-channel).  Not co-channel could include both adjacent channel and channels that are sufficiently far apart.</w:t>
            </w:r>
          </w:p>
          <w:p w14:paraId="224D69A6" w14:textId="77777777" w:rsidR="00CA599B" w:rsidRPr="005D66A0" w:rsidRDefault="00CA599B" w:rsidP="00CA599B">
            <w:pPr>
              <w:overflowPunct/>
              <w:autoSpaceDE/>
              <w:adjustRightInd/>
              <w:spacing w:after="0"/>
              <w:ind w:left="720"/>
              <w:contextualSpacing/>
              <w:jc w:val="both"/>
              <w:rPr>
                <w:i/>
                <w:szCs w:val="28"/>
                <w:lang w:val="en-US" w:eastAsia="ko-KR"/>
              </w:rPr>
            </w:pPr>
          </w:p>
          <w:p w14:paraId="09E9225A" w14:textId="577B083F" w:rsidR="00CA599B" w:rsidRPr="005D66A0" w:rsidRDefault="00CA599B" w:rsidP="00772C6D">
            <w:pPr>
              <w:overflowPunct/>
              <w:autoSpaceDE/>
              <w:adjustRightInd/>
              <w:spacing w:after="0"/>
              <w:ind w:left="720"/>
              <w:contextualSpacing/>
              <w:jc w:val="both"/>
              <w:rPr>
                <w:b/>
                <w:bCs/>
                <w:i/>
                <w:lang w:val="en-US" w:eastAsia="ko-KR"/>
              </w:rPr>
            </w:pPr>
            <w:r w:rsidRPr="005D66A0">
              <w:rPr>
                <w:i/>
                <w:szCs w:val="28"/>
                <w:lang w:val="en-US" w:eastAsia="ko-KR"/>
              </w:rPr>
              <w:t>NOTE: It is assumed that any coexistence requirements and mechanisms of NR sidelink with non-3GPP technologies will not be defined by 3GPP.</w:t>
            </w:r>
          </w:p>
        </w:tc>
      </w:tr>
    </w:tbl>
    <w:p w14:paraId="1247F39D" w14:textId="77777777" w:rsidR="00CA599B" w:rsidRPr="005D66A0" w:rsidRDefault="00CA599B" w:rsidP="005A5379">
      <w:pPr>
        <w:ind w:left="45"/>
        <w:rPr>
          <w:b/>
          <w:bCs/>
          <w:i/>
          <w:lang w:val="en-US" w:eastAsia="ko-KR"/>
        </w:rPr>
      </w:pPr>
    </w:p>
    <w:p w14:paraId="119C9945" w14:textId="11B7F14C" w:rsidR="001154DE" w:rsidRPr="005D66A0" w:rsidRDefault="001154DE" w:rsidP="00CE0424">
      <w:pPr>
        <w:pStyle w:val="BodyText"/>
      </w:pPr>
      <w:r w:rsidRPr="005D66A0">
        <w:t xml:space="preserve">This contribution discusses </w:t>
      </w:r>
      <w:r w:rsidR="00537036" w:rsidRPr="005D66A0">
        <w:t>various</w:t>
      </w:r>
      <w:r w:rsidRPr="005D66A0">
        <w:t xml:space="preserve"> issue</w:t>
      </w:r>
      <w:r w:rsidR="00537036" w:rsidRPr="005D66A0">
        <w:t xml:space="preserve">s </w:t>
      </w:r>
      <w:r w:rsidR="009A76B2" w:rsidRPr="005D66A0">
        <w:t>relevant to</w:t>
      </w:r>
      <w:r w:rsidR="00537036" w:rsidRPr="005D66A0">
        <w:t xml:space="preserve"> </w:t>
      </w:r>
      <w:r w:rsidR="00F96CD4" w:rsidRPr="005D66A0">
        <w:t xml:space="preserve">the </w:t>
      </w:r>
      <w:r w:rsidR="00537036" w:rsidRPr="005D66A0">
        <w:t xml:space="preserve">coexistence topic. </w:t>
      </w:r>
    </w:p>
    <w:p w14:paraId="020415C4" w14:textId="4EE777B5" w:rsidR="004000E8" w:rsidRPr="005D66A0" w:rsidRDefault="00230D18" w:rsidP="00CE0424">
      <w:pPr>
        <w:pStyle w:val="Heading1"/>
      </w:pPr>
      <w:bookmarkStart w:id="0" w:name="_Ref178064866"/>
      <w:r w:rsidRPr="005D66A0">
        <w:t>2</w:t>
      </w:r>
      <w:r w:rsidRPr="005D66A0">
        <w:tab/>
      </w:r>
      <w:bookmarkEnd w:id="0"/>
      <w:r w:rsidR="00537036" w:rsidRPr="005D66A0">
        <w:t>Coexistence aspects in the design of NR V2X</w:t>
      </w:r>
    </w:p>
    <w:p w14:paraId="09B79EE3" w14:textId="58B0B6AB" w:rsidR="00537036" w:rsidRPr="005D66A0" w:rsidRDefault="00537036" w:rsidP="00537036">
      <w:pPr>
        <w:pStyle w:val="BodyText"/>
      </w:pPr>
      <w:r w:rsidRPr="005D66A0">
        <w:t>At a high</w:t>
      </w:r>
      <w:r w:rsidR="00273332" w:rsidRPr="005D66A0">
        <w:t>-</w:t>
      </w:r>
      <w:r w:rsidRPr="005D66A0">
        <w:t xml:space="preserve">level, the coexistence </w:t>
      </w:r>
      <w:r w:rsidR="00273332" w:rsidRPr="005D66A0">
        <w:t xml:space="preserve">aspects </w:t>
      </w:r>
      <w:r w:rsidRPr="005D66A0">
        <w:t xml:space="preserve">of NR V2X can be </w:t>
      </w:r>
      <w:r w:rsidR="00A35731" w:rsidRPr="005D66A0">
        <w:t>grouped</w:t>
      </w:r>
      <w:r w:rsidRPr="005D66A0">
        <w:t xml:space="preserve"> into the following categories:</w:t>
      </w:r>
    </w:p>
    <w:p w14:paraId="37849997" w14:textId="0803672C" w:rsidR="00537036" w:rsidRPr="005D66A0" w:rsidRDefault="00447AAF" w:rsidP="00772C6D">
      <w:pPr>
        <w:pStyle w:val="BodyText"/>
        <w:numPr>
          <w:ilvl w:val="0"/>
          <w:numId w:val="34"/>
        </w:numPr>
      </w:pPr>
      <w:r w:rsidRPr="005D66A0">
        <w:t>Coexistence of V2X services provided by different releases of 3GPP V2X</w:t>
      </w:r>
      <w:r w:rsidR="005A31ED" w:rsidRPr="005D66A0">
        <w:t>, including LTE and NR</w:t>
      </w:r>
      <w:r w:rsidR="0041487B" w:rsidRPr="005D66A0">
        <w:t>.</w:t>
      </w:r>
    </w:p>
    <w:p w14:paraId="21F5CA3C" w14:textId="34682FE1" w:rsidR="00537036" w:rsidRPr="005D66A0" w:rsidRDefault="00AB5ED2" w:rsidP="00772C6D">
      <w:pPr>
        <w:pStyle w:val="BodyText"/>
        <w:numPr>
          <w:ilvl w:val="0"/>
          <w:numId w:val="34"/>
        </w:numPr>
      </w:pPr>
      <w:r w:rsidRPr="005D66A0">
        <w:t>C</w:t>
      </w:r>
      <w:r w:rsidR="00537036" w:rsidRPr="005D66A0">
        <w:t xml:space="preserve">oexistence across </w:t>
      </w:r>
      <w:r w:rsidRPr="005D66A0">
        <w:t xml:space="preserve">different </w:t>
      </w:r>
      <w:r w:rsidR="00537036" w:rsidRPr="005D66A0">
        <w:t xml:space="preserve">releases </w:t>
      </w:r>
      <w:r w:rsidRPr="005D66A0">
        <w:t>of NR</w:t>
      </w:r>
      <w:r w:rsidR="00F3775F" w:rsidRPr="005D66A0">
        <w:t xml:space="preserve"> sidelink (</w:t>
      </w:r>
      <w:r w:rsidR="00537036" w:rsidRPr="005D66A0">
        <w:t>forward compatibility</w:t>
      </w:r>
      <w:r w:rsidR="00F3775F" w:rsidRPr="005D66A0">
        <w:t>)</w:t>
      </w:r>
      <w:r w:rsidR="0041487B" w:rsidRPr="005D66A0">
        <w:t>.</w:t>
      </w:r>
    </w:p>
    <w:p w14:paraId="624195DF" w14:textId="1C01A029" w:rsidR="00537036" w:rsidRPr="005D66A0" w:rsidRDefault="00537036" w:rsidP="00772C6D">
      <w:pPr>
        <w:pStyle w:val="BodyText"/>
        <w:numPr>
          <w:ilvl w:val="0"/>
          <w:numId w:val="34"/>
        </w:numPr>
      </w:pPr>
      <w:r w:rsidRPr="005D66A0">
        <w:t xml:space="preserve">Coexistence between NR sidelink </w:t>
      </w:r>
      <w:r w:rsidR="00F3775F" w:rsidRPr="005D66A0">
        <w:t xml:space="preserve">(PC5) </w:t>
      </w:r>
      <w:r w:rsidRPr="005D66A0">
        <w:t xml:space="preserve">and NR </w:t>
      </w:r>
      <w:r w:rsidR="00F3775F" w:rsidRPr="005D66A0">
        <w:t>c</w:t>
      </w:r>
      <w:r w:rsidRPr="005D66A0">
        <w:t>ellular</w:t>
      </w:r>
      <w:r w:rsidR="00F3775F" w:rsidRPr="005D66A0">
        <w:t xml:space="preserve"> (Uu)</w:t>
      </w:r>
      <w:r w:rsidR="0041487B" w:rsidRPr="005D66A0">
        <w:t>.</w:t>
      </w:r>
    </w:p>
    <w:p w14:paraId="17DD9B9C" w14:textId="021E2B9D" w:rsidR="00537036" w:rsidRPr="005D66A0" w:rsidRDefault="00F3775F" w:rsidP="00772C6D">
      <w:pPr>
        <w:pStyle w:val="BodyText"/>
        <w:numPr>
          <w:ilvl w:val="0"/>
          <w:numId w:val="34"/>
        </w:numPr>
      </w:pPr>
      <w:r w:rsidRPr="005D66A0">
        <w:t xml:space="preserve">Coexistence of </w:t>
      </w:r>
      <w:r w:rsidR="00537036" w:rsidRPr="005D66A0">
        <w:t xml:space="preserve">NR </w:t>
      </w:r>
      <w:r w:rsidRPr="005D66A0">
        <w:t>sidelink</w:t>
      </w:r>
      <w:r w:rsidR="00537036" w:rsidRPr="005D66A0">
        <w:t xml:space="preserve"> and LTE </w:t>
      </w:r>
      <w:r w:rsidRPr="005D66A0">
        <w:t>cellular</w:t>
      </w:r>
      <w:r w:rsidR="00537036" w:rsidRPr="005D66A0">
        <w:t>/</w:t>
      </w:r>
      <w:r w:rsidRPr="005D66A0">
        <w:t>sidelink</w:t>
      </w:r>
      <w:r w:rsidR="002A39A4" w:rsidRPr="005D66A0">
        <w:t>.</w:t>
      </w:r>
    </w:p>
    <w:p w14:paraId="20E82E9A" w14:textId="241FC22C" w:rsidR="00537036" w:rsidRPr="005D66A0" w:rsidRDefault="002A39A4" w:rsidP="00537036">
      <w:pPr>
        <w:pStyle w:val="BodyText"/>
      </w:pPr>
      <w:r w:rsidRPr="005D66A0">
        <w:t xml:space="preserve">In the following, we discuss the details for each </w:t>
      </w:r>
      <w:r w:rsidR="00506F19" w:rsidRPr="005D66A0">
        <w:t xml:space="preserve">coexistence scenario. </w:t>
      </w:r>
    </w:p>
    <w:p w14:paraId="419C236B" w14:textId="77B6FEFB" w:rsidR="00447AAF" w:rsidRPr="005D66A0" w:rsidRDefault="00230D18" w:rsidP="00447AAF">
      <w:pPr>
        <w:pStyle w:val="Heading2"/>
      </w:pPr>
      <w:bookmarkStart w:id="1" w:name="_Ref518038976"/>
      <w:r w:rsidRPr="005D66A0">
        <w:t>2.1</w:t>
      </w:r>
      <w:r w:rsidRPr="005D66A0">
        <w:tab/>
      </w:r>
      <w:bookmarkEnd w:id="1"/>
      <w:r w:rsidR="00447AAF" w:rsidRPr="005D66A0">
        <w:t>Coexistence of V2X services provided by different releases of 3GPP V2X</w:t>
      </w:r>
    </w:p>
    <w:p w14:paraId="2F70C8D0" w14:textId="3B806A95" w:rsidR="00135BFE" w:rsidRPr="005D66A0" w:rsidRDefault="004736E2" w:rsidP="00D22AD6">
      <w:pPr>
        <w:pStyle w:val="BodyText"/>
      </w:pPr>
      <w:r w:rsidRPr="005D66A0">
        <w:t>Due to possible coexistence scenario of different 3GPP radio access technologies (RATs)</w:t>
      </w:r>
      <w:r w:rsidR="002D5672" w:rsidRPr="005D66A0">
        <w:t xml:space="preserve"> </w:t>
      </w:r>
      <w:r w:rsidR="00DF1633" w:rsidRPr="005D66A0">
        <w:t xml:space="preserve">i.e. LTE or NR </w:t>
      </w:r>
      <w:r w:rsidR="002D5672" w:rsidRPr="005D66A0">
        <w:t>or a release of a RAT</w:t>
      </w:r>
      <w:r w:rsidR="0084474D" w:rsidRPr="005D66A0">
        <w:t xml:space="preserve"> </w:t>
      </w:r>
      <w:r w:rsidR="00DF1633" w:rsidRPr="005D66A0">
        <w:t xml:space="preserve">i.e. LTE Rel-14 or LTE Rel-15 </w:t>
      </w:r>
      <w:r w:rsidR="00E10787" w:rsidRPr="005D66A0">
        <w:t>and</w:t>
      </w:r>
      <w:r w:rsidR="00B37364" w:rsidRPr="005D66A0">
        <w:t xml:space="preserve"> the</w:t>
      </w:r>
      <w:r w:rsidR="00E10787" w:rsidRPr="005D66A0">
        <w:t xml:space="preserve"> distributed nature of V2X system, it is of foremost importance tha</w:t>
      </w:r>
      <w:r w:rsidR="00FB51D6" w:rsidRPr="005D66A0">
        <w:t xml:space="preserve">t </w:t>
      </w:r>
      <w:r w:rsidR="002847B3" w:rsidRPr="005D66A0">
        <w:t xml:space="preserve">interoperability at service level is ensured. Therefore, </w:t>
      </w:r>
      <w:r w:rsidR="00F13134" w:rsidRPr="005D66A0">
        <w:t xml:space="preserve">we believe that </w:t>
      </w:r>
      <w:r w:rsidR="00D22AD6" w:rsidRPr="005D66A0">
        <w:t xml:space="preserve">each service is served by a specific radio access technology (RAT) or release of a RAT. For example, day-1 safety messages may be carried by LTE Rel-14, platooning messages may be carried by LTE Rel-15, and cooperative driving </w:t>
      </w:r>
      <w:r w:rsidR="00273332" w:rsidRPr="005D66A0">
        <w:t xml:space="preserve">services </w:t>
      </w:r>
      <w:r w:rsidR="00D22AD6" w:rsidRPr="005D66A0">
        <w:t xml:space="preserve">may be carried by NR Rel-16. </w:t>
      </w:r>
      <w:r w:rsidR="00273332" w:rsidRPr="005D66A0">
        <w:t>A</w:t>
      </w:r>
      <w:r w:rsidR="00D22AD6" w:rsidRPr="005D66A0">
        <w:t>ny UE participating in a service may assume that all its messages belonging to that service will be understood by all other UEs participating in the same service</w:t>
      </w:r>
      <w:r w:rsidR="00135BFE" w:rsidRPr="005D66A0">
        <w:t>.</w:t>
      </w:r>
    </w:p>
    <w:p w14:paraId="540996AA" w14:textId="357B7539" w:rsidR="00342008" w:rsidRPr="005D66A0" w:rsidRDefault="007E7767" w:rsidP="00342008">
      <w:pPr>
        <w:pStyle w:val="Observation"/>
      </w:pPr>
      <w:bookmarkStart w:id="2" w:name="_Toc521334547"/>
      <w:bookmarkStart w:id="3" w:name="_Toc521334548"/>
      <w:bookmarkStart w:id="4" w:name="_Toc521686134"/>
      <w:bookmarkEnd w:id="2"/>
      <w:bookmarkEnd w:id="3"/>
      <w:r w:rsidRPr="005D66A0">
        <w:lastRenderedPageBreak/>
        <w:t xml:space="preserve">Any UE participating in a service may assume that its messages will be </w:t>
      </w:r>
      <w:r w:rsidR="00C026A6" w:rsidRPr="005D66A0">
        <w:t>understood by all other UEs interested in the same service.</w:t>
      </w:r>
      <w:bookmarkEnd w:id="4"/>
      <w:r w:rsidR="00C026A6" w:rsidRPr="005D66A0">
        <w:t xml:space="preserve"> </w:t>
      </w:r>
    </w:p>
    <w:p w14:paraId="13FCA1E4" w14:textId="71A72AB7" w:rsidR="00084D9D" w:rsidRPr="005D66A0" w:rsidRDefault="00D26948" w:rsidP="00772C6D">
      <w:pPr>
        <w:pStyle w:val="BodyText"/>
      </w:pPr>
      <w:r w:rsidRPr="005D66A0">
        <w:t xml:space="preserve">Our position is that </w:t>
      </w:r>
      <w:r w:rsidR="00E7530D" w:rsidRPr="005D66A0">
        <w:t>interoperability should be ensured at service level. Given this principle, we believe that RAN2 should be the leading working group for this study.</w:t>
      </w:r>
    </w:p>
    <w:p w14:paraId="117D91A7" w14:textId="610D8CCF" w:rsidR="00D9451A" w:rsidRPr="005D66A0" w:rsidRDefault="00C20FB9" w:rsidP="00D9451A">
      <w:pPr>
        <w:pStyle w:val="Proposal"/>
        <w:tabs>
          <w:tab w:val="clear" w:pos="1304"/>
        </w:tabs>
        <w:ind w:left="1701" w:hanging="1701"/>
      </w:pPr>
      <w:bookmarkStart w:id="5" w:name="_Toc521686128"/>
      <w:r w:rsidRPr="005D66A0">
        <w:t xml:space="preserve">Interoperability </w:t>
      </w:r>
      <w:r w:rsidR="00886756" w:rsidRPr="005D66A0">
        <w:t xml:space="preserve">is ensured </w:t>
      </w:r>
      <w:r w:rsidRPr="005D66A0">
        <w:t>at service level.</w:t>
      </w:r>
      <w:bookmarkEnd w:id="5"/>
    </w:p>
    <w:p w14:paraId="73B3B0AF" w14:textId="0EB6C894" w:rsidR="005E76A9" w:rsidRPr="005D66A0" w:rsidRDefault="005E76A9" w:rsidP="00D9451A">
      <w:pPr>
        <w:pStyle w:val="Proposal"/>
        <w:tabs>
          <w:tab w:val="clear" w:pos="1304"/>
        </w:tabs>
        <w:ind w:left="1701" w:hanging="1701"/>
      </w:pPr>
      <w:bookmarkStart w:id="6" w:name="_Toc521686129"/>
      <w:r w:rsidRPr="005D66A0">
        <w:t xml:space="preserve">RAN2 </w:t>
      </w:r>
      <w:r w:rsidR="0035041D" w:rsidRPr="005D66A0">
        <w:t>to lead the study on interoperability at service level.</w:t>
      </w:r>
      <w:bookmarkEnd w:id="6"/>
    </w:p>
    <w:p w14:paraId="1C2A3758" w14:textId="67C845EE" w:rsidR="00C20FB9" w:rsidRPr="005D66A0" w:rsidRDefault="00C20FB9" w:rsidP="00772C6D">
      <w:pPr>
        <w:pStyle w:val="BodyText"/>
      </w:pPr>
      <w:r w:rsidRPr="005D66A0">
        <w:t xml:space="preserve">As mentioned in </w:t>
      </w:r>
      <w:r w:rsidR="00DF3743" w:rsidRPr="005D66A0">
        <w:fldChar w:fldCharType="begin"/>
      </w:r>
      <w:r w:rsidR="00DF3743" w:rsidRPr="005D66A0">
        <w:instrText xml:space="preserve"> REF _Ref521309451 \r \h </w:instrText>
      </w:r>
      <w:r w:rsidR="005D66A0">
        <w:instrText xml:space="preserve"> \* MERGEFORMAT </w:instrText>
      </w:r>
      <w:r w:rsidR="00DF3743" w:rsidRPr="005D66A0">
        <w:fldChar w:fldCharType="separate"/>
      </w:r>
      <w:r w:rsidR="00DF3743" w:rsidRPr="005D66A0">
        <w:t>[2]</w:t>
      </w:r>
      <w:r w:rsidR="00DF3743" w:rsidRPr="005D66A0">
        <w:fldChar w:fldCharType="end"/>
      </w:r>
      <w:r w:rsidRPr="005D66A0">
        <w:t xml:space="preserve">, </w:t>
      </w:r>
      <w:r w:rsidR="00B713BB" w:rsidRPr="005D66A0">
        <w:t xml:space="preserve">the above does not imply that the basic </w:t>
      </w:r>
      <w:r w:rsidR="00502F4C" w:rsidRPr="005D66A0">
        <w:t xml:space="preserve">V2X </w:t>
      </w:r>
      <w:r w:rsidR="00B713BB" w:rsidRPr="005D66A0">
        <w:t xml:space="preserve">services (i.e. day-1 safety service) </w:t>
      </w:r>
      <w:r w:rsidR="000F0C39" w:rsidRPr="005D66A0">
        <w:t>are</w:t>
      </w:r>
      <w:r w:rsidR="00B713BB" w:rsidRPr="005D66A0">
        <w:t xml:space="preserve"> only </w:t>
      </w:r>
      <w:r w:rsidR="00502F4C" w:rsidRPr="005D66A0">
        <w:t xml:space="preserve">provided by LTE. </w:t>
      </w:r>
      <w:r w:rsidR="00702697" w:rsidRPr="005D66A0">
        <w:t>NR system should also be able to provide such services to allow future stand-alone</w:t>
      </w:r>
      <w:r w:rsidR="00866CB0" w:rsidRPr="005D66A0">
        <w:t xml:space="preserve"> NR V2X</w:t>
      </w:r>
      <w:r w:rsidR="00702697" w:rsidRPr="005D66A0">
        <w:t xml:space="preserve"> operation</w:t>
      </w:r>
      <w:r w:rsidR="00866CB0" w:rsidRPr="005D66A0">
        <w:t>s</w:t>
      </w:r>
      <w:r w:rsidR="00702697" w:rsidRPr="005D66A0">
        <w:t>.</w:t>
      </w:r>
    </w:p>
    <w:p w14:paraId="2F51AA61" w14:textId="64CB7E39" w:rsidR="005B69D8" w:rsidRPr="005D66A0" w:rsidRDefault="005B69D8" w:rsidP="00F63950">
      <w:pPr>
        <w:pStyle w:val="Heading2"/>
      </w:pPr>
      <w:r w:rsidRPr="005D66A0">
        <w:t xml:space="preserve">2.2 </w:t>
      </w:r>
      <w:r w:rsidR="00A108A4" w:rsidRPr="005D66A0">
        <w:tab/>
      </w:r>
      <w:r w:rsidR="00180A14" w:rsidRPr="005D66A0">
        <w:t xml:space="preserve">Coexistence across different releases of NR </w:t>
      </w:r>
      <w:proofErr w:type="spellStart"/>
      <w:r w:rsidR="00180A14" w:rsidRPr="005D66A0">
        <w:t>sidelink</w:t>
      </w:r>
      <w:proofErr w:type="spellEnd"/>
      <w:r w:rsidR="0037125F" w:rsidRPr="005D66A0">
        <w:t xml:space="preserve"> </w:t>
      </w:r>
      <w:r w:rsidR="00273332" w:rsidRPr="005D66A0">
        <w:t>(</w:t>
      </w:r>
      <w:r w:rsidR="008A06A9" w:rsidRPr="005D66A0">
        <w:t>F</w:t>
      </w:r>
      <w:r w:rsidR="00273332" w:rsidRPr="005D66A0">
        <w:t>orward compatibility of NR sidelink)</w:t>
      </w:r>
    </w:p>
    <w:p w14:paraId="4AC4BB36" w14:textId="69A11764" w:rsidR="00CB4E20" w:rsidRPr="005D66A0" w:rsidRDefault="00273332" w:rsidP="00CB4E20">
      <w:pPr>
        <w:pStyle w:val="BodyText"/>
      </w:pPr>
      <w:r w:rsidRPr="005D66A0">
        <w:t>It is stated in the SI description that the flexibility of NR sidelink framework would allow easy extension of NR system to support the future development of further advanced V2X services and other services.</w:t>
      </w:r>
      <w:r w:rsidRPr="005D66A0">
        <w:rPr>
          <w:color w:val="FFC000"/>
        </w:rPr>
        <w:t xml:space="preserve"> </w:t>
      </w:r>
      <w:r w:rsidRPr="005D66A0">
        <w:t>Th</w:t>
      </w:r>
      <w:r w:rsidR="00000F88" w:rsidRPr="005D66A0">
        <w:t>is forward compatibility guideline means</w:t>
      </w:r>
      <w:r w:rsidRPr="005D66A0">
        <w:t xml:space="preserve"> t</w:t>
      </w:r>
      <w:r w:rsidR="00CB4E20" w:rsidRPr="005D66A0">
        <w:t xml:space="preserve">he NR </w:t>
      </w:r>
      <w:r w:rsidRPr="005D66A0">
        <w:t>PC5 design</w:t>
      </w:r>
      <w:r w:rsidR="00CB4E20" w:rsidRPr="005D66A0">
        <w:t xml:space="preserve"> must </w:t>
      </w:r>
      <w:r w:rsidR="00000F88" w:rsidRPr="005D66A0">
        <w:t xml:space="preserve">allow </w:t>
      </w:r>
      <w:r w:rsidR="00CB4E20" w:rsidRPr="005D66A0">
        <w:t xml:space="preserve">earlier sidelink specification (e.g., in Rel-16) </w:t>
      </w:r>
      <w:r w:rsidR="00000F88" w:rsidRPr="005D66A0">
        <w:t xml:space="preserve">to </w:t>
      </w:r>
      <w:r w:rsidR="00CB4E20" w:rsidRPr="005D66A0">
        <w:t>be easily extended in later releases (e.g., in Rel-17) so that:</w:t>
      </w:r>
    </w:p>
    <w:p w14:paraId="784EF3EF" w14:textId="13F546F0" w:rsidR="00CB4E20" w:rsidRPr="005D66A0" w:rsidRDefault="00CB4E20" w:rsidP="00CB4E20">
      <w:pPr>
        <w:pStyle w:val="BodyText"/>
        <w:numPr>
          <w:ilvl w:val="0"/>
          <w:numId w:val="31"/>
        </w:numPr>
      </w:pPr>
      <w:r w:rsidRPr="005D66A0">
        <w:t xml:space="preserve">Old (e.g. Rel-16) and new (e.g. Rel-17) UEs can coexist in the same </w:t>
      </w:r>
      <w:r w:rsidR="00273332" w:rsidRPr="005D66A0">
        <w:t xml:space="preserve">radio </w:t>
      </w:r>
      <w:r w:rsidRPr="005D66A0">
        <w:t>resources without causing significant degradation to each other.</w:t>
      </w:r>
    </w:p>
    <w:p w14:paraId="07F1188E" w14:textId="5788B0FB" w:rsidR="00CB4E20" w:rsidRPr="005D66A0" w:rsidRDefault="00CB4E20" w:rsidP="00CB4E20">
      <w:pPr>
        <w:pStyle w:val="BodyText"/>
        <w:numPr>
          <w:ilvl w:val="0"/>
          <w:numId w:val="31"/>
        </w:numPr>
      </w:pPr>
      <w:r w:rsidRPr="005D66A0">
        <w:t>Old UEs must be able to decode all the relevant control signa</w:t>
      </w:r>
      <w:r w:rsidR="00557B42" w:rsidRPr="005D66A0">
        <w:t>l</w:t>
      </w:r>
      <w:r w:rsidRPr="005D66A0">
        <w:t>ling to enable coexistence and efficient radio resource management.</w:t>
      </w:r>
    </w:p>
    <w:p w14:paraId="4747B576" w14:textId="0E2A9F18" w:rsidR="00CB4E20" w:rsidRPr="005D66A0" w:rsidRDefault="00CB4E20" w:rsidP="00CB4E20">
      <w:pPr>
        <w:pStyle w:val="BodyText"/>
        <w:numPr>
          <w:ilvl w:val="0"/>
          <w:numId w:val="31"/>
        </w:numPr>
      </w:pPr>
      <w:r w:rsidRPr="005D66A0">
        <w:t>Old UEs are not required to decode message parts (control, data) that are not necessary to enable coexistence.</w:t>
      </w:r>
    </w:p>
    <w:p w14:paraId="3533F5B2" w14:textId="092FA650" w:rsidR="00D51F79" w:rsidRPr="005D66A0" w:rsidRDefault="00000F88" w:rsidP="00D51F79">
      <w:pPr>
        <w:pStyle w:val="BodyText"/>
      </w:pPr>
      <w:r w:rsidRPr="005D66A0">
        <w:t>The above requirements have some implications on the radio design of NR PC5</w:t>
      </w:r>
      <w:r w:rsidR="00D51F79" w:rsidRPr="005D66A0">
        <w:t xml:space="preserve"> </w:t>
      </w:r>
      <w:r w:rsidR="00147618" w:rsidRPr="005D66A0">
        <w:t xml:space="preserve">as considered in </w:t>
      </w:r>
      <w:r w:rsidR="00956FAB" w:rsidRPr="005D66A0">
        <w:fldChar w:fldCharType="begin"/>
      </w:r>
      <w:r w:rsidR="00956FAB" w:rsidRPr="005D66A0">
        <w:instrText xml:space="preserve"> REF _Ref521267087 \r \h </w:instrText>
      </w:r>
      <w:r w:rsidR="005D66A0">
        <w:instrText xml:space="preserve"> \* MERGEFORMAT </w:instrText>
      </w:r>
      <w:r w:rsidR="00956FAB" w:rsidRPr="005D66A0">
        <w:fldChar w:fldCharType="separate"/>
      </w:r>
      <w:r w:rsidR="00956FAB" w:rsidRPr="005D66A0">
        <w:t>[3]</w:t>
      </w:r>
      <w:r w:rsidR="00956FAB" w:rsidRPr="005D66A0">
        <w:fldChar w:fldCharType="end"/>
      </w:r>
      <w:r w:rsidR="00147618" w:rsidRPr="005D66A0">
        <w:t>.</w:t>
      </w:r>
    </w:p>
    <w:p w14:paraId="11B1C8C3" w14:textId="01340637" w:rsidR="0037125F" w:rsidRPr="005D66A0" w:rsidRDefault="00000F88">
      <w:pPr>
        <w:pStyle w:val="Observation"/>
      </w:pPr>
      <w:bookmarkStart w:id="7" w:name="_Toc521686135"/>
      <w:r w:rsidRPr="005D66A0">
        <w:t xml:space="preserve">Forward compatibility </w:t>
      </w:r>
      <w:r w:rsidR="007F0114" w:rsidRPr="005D66A0">
        <w:t xml:space="preserve">of NR V2X is </w:t>
      </w:r>
      <w:r w:rsidR="00DF46E8" w:rsidRPr="005D66A0">
        <w:t>essential</w:t>
      </w:r>
      <w:r w:rsidR="007F0114" w:rsidRPr="005D66A0">
        <w:t xml:space="preserve"> to support future V2X services.</w:t>
      </w:r>
      <w:bookmarkEnd w:id="7"/>
    </w:p>
    <w:p w14:paraId="267443B6" w14:textId="60C8BC3B" w:rsidR="00D9451A" w:rsidRPr="005D66A0" w:rsidRDefault="00910642" w:rsidP="00D9451A">
      <w:pPr>
        <w:pStyle w:val="Proposal"/>
        <w:tabs>
          <w:tab w:val="clear" w:pos="1304"/>
        </w:tabs>
        <w:ind w:left="1701" w:hanging="1701"/>
      </w:pPr>
      <w:bookmarkStart w:id="8" w:name="_Toc347823621"/>
      <w:bookmarkStart w:id="9" w:name="_Toc347824073"/>
      <w:bookmarkStart w:id="10" w:name="_Toc347824246"/>
      <w:bookmarkStart w:id="11" w:name="_Toc509923397"/>
      <w:bookmarkStart w:id="12" w:name="_Toc521686130"/>
      <w:r w:rsidRPr="005D66A0">
        <w:t xml:space="preserve">Forward compatibility considerations </w:t>
      </w:r>
      <w:r w:rsidR="007D28AC" w:rsidRPr="005D66A0">
        <w:t xml:space="preserve">are </w:t>
      </w:r>
      <w:r w:rsidR="001F7015" w:rsidRPr="005D66A0">
        <w:t xml:space="preserve">prioritized in </w:t>
      </w:r>
      <w:bookmarkEnd w:id="8"/>
      <w:bookmarkEnd w:id="9"/>
      <w:bookmarkEnd w:id="10"/>
      <w:bookmarkEnd w:id="11"/>
      <w:r w:rsidR="009F7895" w:rsidRPr="005D66A0">
        <w:t xml:space="preserve">NR </w:t>
      </w:r>
      <w:proofErr w:type="spellStart"/>
      <w:r w:rsidR="009F7895" w:rsidRPr="005D66A0">
        <w:t>sidelink</w:t>
      </w:r>
      <w:proofErr w:type="spellEnd"/>
      <w:r w:rsidR="009F7895" w:rsidRPr="005D66A0">
        <w:t xml:space="preserve"> </w:t>
      </w:r>
      <w:r w:rsidR="001F7015" w:rsidRPr="005D66A0">
        <w:t>design</w:t>
      </w:r>
      <w:r w:rsidR="009F7895" w:rsidRPr="005D66A0">
        <w:t>.</w:t>
      </w:r>
      <w:bookmarkEnd w:id="12"/>
    </w:p>
    <w:p w14:paraId="172C8546" w14:textId="176C271B" w:rsidR="00180A14" w:rsidRPr="005D66A0" w:rsidRDefault="00180A14" w:rsidP="00180A14">
      <w:pPr>
        <w:pStyle w:val="Heading2"/>
      </w:pPr>
      <w:r w:rsidRPr="005D66A0">
        <w:t xml:space="preserve">2.3 </w:t>
      </w:r>
      <w:r w:rsidRPr="005D66A0">
        <w:tab/>
        <w:t xml:space="preserve">Coexistence between NR sidelink (PC5) and NR cellular (Uu) </w:t>
      </w:r>
    </w:p>
    <w:p w14:paraId="1DD1AD53" w14:textId="129BED33" w:rsidR="00201D0F" w:rsidRPr="005D66A0" w:rsidRDefault="00D9451A">
      <w:pPr>
        <w:pStyle w:val="BodyText"/>
      </w:pPr>
      <w:r w:rsidRPr="005D66A0">
        <w:t>In our view, u</w:t>
      </w:r>
      <w:r w:rsidR="0024236B" w:rsidRPr="005D66A0">
        <w:t>nder NR coverage</w:t>
      </w:r>
      <w:r w:rsidRPr="005D66A0">
        <w:t>,</w:t>
      </w:r>
      <w:r w:rsidR="0024236B" w:rsidRPr="005D66A0">
        <w:t xml:space="preserve"> </w:t>
      </w:r>
      <w:r w:rsidR="00D8666C" w:rsidRPr="005D66A0">
        <w:t xml:space="preserve">such </w:t>
      </w:r>
      <w:r w:rsidR="0024236B" w:rsidRPr="005D66A0">
        <w:t>coexistence is managed and controlled by the gNB by setting the constraints for NR sidelink in terms of time/frequency/power/spatial resources. In out-of-coverage situations, UEs can use preconfigured information that controls access to time/frequency/power/spatial resources.</w:t>
      </w:r>
    </w:p>
    <w:p w14:paraId="75247146" w14:textId="02E7689D" w:rsidR="00D9451A" w:rsidRPr="005D66A0" w:rsidRDefault="00D9451A">
      <w:pPr>
        <w:pStyle w:val="Proposal"/>
      </w:pPr>
      <w:bookmarkStart w:id="13" w:name="_Toc521686131"/>
      <w:r w:rsidRPr="005D66A0">
        <w:t xml:space="preserve">The </w:t>
      </w:r>
      <w:r w:rsidR="00474EB5" w:rsidRPr="005D66A0">
        <w:t xml:space="preserve">coexistence of NR PC5 and NR </w:t>
      </w:r>
      <w:proofErr w:type="spellStart"/>
      <w:r w:rsidR="00474EB5" w:rsidRPr="005D66A0">
        <w:t>Uu</w:t>
      </w:r>
      <w:proofErr w:type="spellEnd"/>
      <w:r w:rsidR="00474EB5" w:rsidRPr="005D66A0">
        <w:t xml:space="preserve"> </w:t>
      </w:r>
      <w:r w:rsidR="00F4780F" w:rsidRPr="005D66A0">
        <w:t xml:space="preserve">is </w:t>
      </w:r>
      <w:r w:rsidR="00474EB5" w:rsidRPr="005D66A0">
        <w:t xml:space="preserve">managed by </w:t>
      </w:r>
      <w:proofErr w:type="spellStart"/>
      <w:r w:rsidR="00474EB5" w:rsidRPr="005D66A0">
        <w:t>gNB</w:t>
      </w:r>
      <w:proofErr w:type="spellEnd"/>
      <w:r w:rsidR="00474EB5" w:rsidRPr="005D66A0">
        <w:t xml:space="preserve"> control </w:t>
      </w:r>
      <w:r w:rsidR="00B44757" w:rsidRPr="005D66A0">
        <w:t>(for the in-coverage scenario) or</w:t>
      </w:r>
      <w:r w:rsidR="00474EB5" w:rsidRPr="005D66A0">
        <w:t xml:space="preserve"> by using pre</w:t>
      </w:r>
      <w:r w:rsidR="00A368BC" w:rsidRPr="005D66A0">
        <w:t>-</w:t>
      </w:r>
      <w:r w:rsidR="00474EB5" w:rsidRPr="005D66A0">
        <w:t xml:space="preserve">configuration </w:t>
      </w:r>
      <w:r w:rsidR="00B44757" w:rsidRPr="005D66A0">
        <w:t xml:space="preserve">(for the </w:t>
      </w:r>
      <w:r w:rsidR="00474EB5" w:rsidRPr="005D66A0">
        <w:t>out-of-coverage scenario</w:t>
      </w:r>
      <w:r w:rsidR="00B44757" w:rsidRPr="005D66A0">
        <w:t>)</w:t>
      </w:r>
      <w:r w:rsidR="00474EB5" w:rsidRPr="005D66A0">
        <w:t>.</w:t>
      </w:r>
      <w:bookmarkEnd w:id="13"/>
    </w:p>
    <w:p w14:paraId="5314AABB" w14:textId="0E9788DB" w:rsidR="00CA549E" w:rsidRPr="005D66A0" w:rsidRDefault="00822540" w:rsidP="00CA549E">
      <w:pPr>
        <w:pStyle w:val="BodyText"/>
      </w:pPr>
      <w:r w:rsidRPr="005D66A0">
        <w:t>The design of NR sidelink must prioritize protection of cellular communications</w:t>
      </w:r>
      <w:r w:rsidR="0057215D" w:rsidRPr="005D66A0">
        <w:t xml:space="preserve">. RAN1 must ensure that the appropriate protection mechanisms are studied </w:t>
      </w:r>
      <w:r w:rsidR="00473125" w:rsidRPr="005D66A0">
        <w:t>and later specified.</w:t>
      </w:r>
    </w:p>
    <w:p w14:paraId="792E80AC" w14:textId="5C6EEB60" w:rsidR="00473125" w:rsidRPr="005D66A0" w:rsidRDefault="00473125" w:rsidP="00473125">
      <w:pPr>
        <w:pStyle w:val="Proposal"/>
      </w:pPr>
      <w:bookmarkStart w:id="14" w:name="_Toc521334417"/>
      <w:bookmarkStart w:id="15" w:name="_Toc521686132"/>
      <w:r w:rsidRPr="005D66A0">
        <w:t xml:space="preserve">Study of mechanisms to protect cellular communications </w:t>
      </w:r>
      <w:r w:rsidR="001C09B7" w:rsidRPr="005D66A0">
        <w:t xml:space="preserve">from sidelink interference </w:t>
      </w:r>
      <w:r w:rsidRPr="005D66A0">
        <w:t>is prioritized.</w:t>
      </w:r>
      <w:bookmarkEnd w:id="14"/>
      <w:bookmarkEnd w:id="15"/>
    </w:p>
    <w:p w14:paraId="7A710D58" w14:textId="531CF165" w:rsidR="00180A14" w:rsidRPr="005D66A0" w:rsidRDefault="00180A14" w:rsidP="00180A14">
      <w:pPr>
        <w:pStyle w:val="Heading2"/>
      </w:pPr>
      <w:r w:rsidRPr="005D66A0">
        <w:t>2.4</w:t>
      </w:r>
      <w:r w:rsidRPr="005D66A0">
        <w:tab/>
        <w:t>Coexistence of NR sidelink and LTE cellular/sidelink</w:t>
      </w:r>
    </w:p>
    <w:p w14:paraId="3E97A0F6" w14:textId="42A05610" w:rsidR="002E15FF" w:rsidRPr="005D66A0" w:rsidRDefault="00864BA0" w:rsidP="009A4B36">
      <w:pPr>
        <w:pStyle w:val="BodyText"/>
      </w:pPr>
      <w:r w:rsidRPr="005D66A0">
        <w:t xml:space="preserve">The </w:t>
      </w:r>
      <w:r w:rsidR="006238F7" w:rsidRPr="005D66A0">
        <w:t>“</w:t>
      </w:r>
      <w:r w:rsidRPr="005D66A0">
        <w:t>no</w:t>
      </w:r>
      <w:r w:rsidR="006238F7" w:rsidRPr="005D66A0">
        <w:t>t co-channel” principle</w:t>
      </w:r>
      <w:r w:rsidR="001F19C8" w:rsidRPr="005D66A0">
        <w:t xml:space="preserve"> in the SID</w:t>
      </w:r>
      <w:r w:rsidR="006238F7" w:rsidRPr="005D66A0">
        <w:t xml:space="preserve"> </w:t>
      </w:r>
      <w:r w:rsidR="00C52317" w:rsidRPr="005D66A0">
        <w:t>read</w:t>
      </w:r>
      <w:r w:rsidR="00FC4C57" w:rsidRPr="005D66A0">
        <w:t>s</w:t>
      </w:r>
      <w:r w:rsidR="00322BDA" w:rsidRPr="005D66A0">
        <w:t xml:space="preserve"> that </w:t>
      </w:r>
      <w:r w:rsidR="001F19C8" w:rsidRPr="005D66A0">
        <w:t xml:space="preserve">advanced V2X services provided by NR sidelink </w:t>
      </w:r>
      <w:r w:rsidR="00FC4C57" w:rsidRPr="005D66A0">
        <w:t xml:space="preserve">can </w:t>
      </w:r>
      <w:r w:rsidR="001F19C8" w:rsidRPr="005D66A0">
        <w:t>coexist with V2X service provided by LTE sidelink in different channels</w:t>
      </w:r>
      <w:r w:rsidR="00FC4C57" w:rsidRPr="005D66A0">
        <w:t xml:space="preserve"> (</w:t>
      </w:r>
      <w:r w:rsidR="00B5099C" w:rsidRPr="005D66A0">
        <w:t>can</w:t>
      </w:r>
      <w:r w:rsidR="00FC4C57" w:rsidRPr="005D66A0">
        <w:t xml:space="preserve"> be adjacent channel</w:t>
      </w:r>
      <w:r w:rsidR="00B5099C" w:rsidRPr="005D66A0">
        <w:t>s</w:t>
      </w:r>
      <w:r w:rsidR="00FC4C57" w:rsidRPr="005D66A0">
        <w:t xml:space="preserve"> </w:t>
      </w:r>
      <w:r w:rsidR="00B5099C" w:rsidRPr="005D66A0">
        <w:t>or</w:t>
      </w:r>
      <w:r w:rsidR="00FC4C57" w:rsidRPr="005D66A0">
        <w:t xml:space="preserve"> channels that </w:t>
      </w:r>
      <w:r w:rsidR="00C52317" w:rsidRPr="005D66A0">
        <w:t xml:space="preserve">are sufficiently far apart). </w:t>
      </w:r>
      <w:r w:rsidR="004F02BB" w:rsidRPr="005D66A0">
        <w:t xml:space="preserve">This concurs with our view that NR sidelink and LTE sidelink are independent technologies. </w:t>
      </w:r>
      <w:r w:rsidR="00F57D64" w:rsidRPr="005D66A0">
        <w:t>I</w:t>
      </w:r>
      <w:r w:rsidR="004F02BB" w:rsidRPr="005D66A0">
        <w:t>t is not expected that NR sidelink UEs decode LTE sidelink messages at any rate or vice versa</w:t>
      </w:r>
      <w:r w:rsidR="008C264F" w:rsidRPr="005D66A0">
        <w:t xml:space="preserve">. Therefore, we do not envisage </w:t>
      </w:r>
      <w:r w:rsidR="00695702" w:rsidRPr="005D66A0">
        <w:t xml:space="preserve">technical </w:t>
      </w:r>
      <w:r w:rsidR="00231AF1" w:rsidRPr="005D66A0">
        <w:t xml:space="preserve">issues with the coexistence of </w:t>
      </w:r>
      <w:r w:rsidR="00695702" w:rsidRPr="005D66A0">
        <w:t xml:space="preserve">NR </w:t>
      </w:r>
      <w:proofErr w:type="spellStart"/>
      <w:r w:rsidR="00695702" w:rsidRPr="005D66A0">
        <w:t>sidelink</w:t>
      </w:r>
      <w:proofErr w:type="spellEnd"/>
      <w:r w:rsidR="00695702" w:rsidRPr="005D66A0">
        <w:t xml:space="preserve"> and LTE </w:t>
      </w:r>
      <w:proofErr w:type="spellStart"/>
      <w:r w:rsidR="00695702" w:rsidRPr="005D66A0">
        <w:t>sidelink</w:t>
      </w:r>
      <w:proofErr w:type="spellEnd"/>
      <w:r w:rsidR="00695702" w:rsidRPr="005D66A0">
        <w:t xml:space="preserve"> </w:t>
      </w:r>
      <w:r w:rsidR="00811123" w:rsidRPr="005D66A0">
        <w:t>in different channels.</w:t>
      </w:r>
    </w:p>
    <w:p w14:paraId="2ED28F3B" w14:textId="7CF14823" w:rsidR="0024236B" w:rsidRPr="005D66A0" w:rsidRDefault="00811123" w:rsidP="0024236B">
      <w:pPr>
        <w:pStyle w:val="BodyText"/>
      </w:pPr>
      <w:r w:rsidRPr="005D66A0">
        <w:t>As for the coexistence of NR sidelink and LTE cellular</w:t>
      </w:r>
      <w:r w:rsidR="00E71BB2" w:rsidRPr="005D66A0">
        <w:t xml:space="preserve">, </w:t>
      </w:r>
      <w:r w:rsidR="00265FA7" w:rsidRPr="005D66A0">
        <w:t>i</w:t>
      </w:r>
      <w:r w:rsidR="0024236B" w:rsidRPr="005D66A0">
        <w:t xml:space="preserve">n the case when NR is deployed in non-standalone (NSA) mode, NR sidelink may share spectrum resources with LTE Uu. In this case, a carrier can be configured </w:t>
      </w:r>
      <w:r w:rsidR="0024236B" w:rsidRPr="005D66A0">
        <w:lastRenderedPageBreak/>
        <w:t xml:space="preserve">into disjunct resource pools (in time and/or frequency domain) and the disjunct parts are allocated to LTE and NR respectively. </w:t>
      </w:r>
    </w:p>
    <w:p w14:paraId="3C8EE208" w14:textId="1CD589A9" w:rsidR="000E313F" w:rsidRPr="005D66A0" w:rsidRDefault="00AE5280" w:rsidP="00772C6D">
      <w:pPr>
        <w:pStyle w:val="Proposal"/>
      </w:pPr>
      <w:bookmarkStart w:id="16" w:name="_Toc521334410"/>
      <w:bookmarkStart w:id="17" w:name="_Toc521334418"/>
      <w:bookmarkStart w:id="18" w:name="_Toc521334427"/>
      <w:bookmarkStart w:id="19" w:name="_Toc521334486"/>
      <w:bookmarkStart w:id="20" w:name="_Toc521334419"/>
      <w:bookmarkStart w:id="21" w:name="_Toc521686133"/>
      <w:bookmarkEnd w:id="16"/>
      <w:bookmarkEnd w:id="17"/>
      <w:bookmarkEnd w:id="18"/>
      <w:bookmarkEnd w:id="19"/>
      <w:r w:rsidRPr="005D66A0">
        <w:t xml:space="preserve">In the non-standalone mode, NR </w:t>
      </w:r>
      <w:proofErr w:type="spellStart"/>
      <w:r w:rsidRPr="005D66A0">
        <w:t>sidelink</w:t>
      </w:r>
      <w:proofErr w:type="spellEnd"/>
      <w:r w:rsidRPr="005D66A0">
        <w:t xml:space="preserve"> and LTE cellular may share the same spectrum but are configured with disjunct resource pools.</w:t>
      </w:r>
      <w:bookmarkStart w:id="22" w:name="_Toc521334224"/>
      <w:bookmarkStart w:id="23" w:name="_Toc521334420"/>
      <w:bookmarkEnd w:id="20"/>
      <w:bookmarkEnd w:id="21"/>
      <w:bookmarkEnd w:id="22"/>
      <w:bookmarkEnd w:id="23"/>
    </w:p>
    <w:p w14:paraId="5300F849" w14:textId="6408B810" w:rsidR="00C01F33" w:rsidRPr="005D66A0" w:rsidRDefault="00B409E0" w:rsidP="00CE0424">
      <w:pPr>
        <w:pStyle w:val="Heading1"/>
      </w:pPr>
      <w:bookmarkStart w:id="24" w:name="_Ref189046994"/>
      <w:r w:rsidRPr="005D66A0">
        <w:t>3</w:t>
      </w:r>
      <w:r w:rsidRPr="005D66A0">
        <w:tab/>
      </w:r>
      <w:bookmarkEnd w:id="24"/>
      <w:r w:rsidR="00C01F33" w:rsidRPr="005D66A0">
        <w:t>Conclusion</w:t>
      </w:r>
    </w:p>
    <w:p w14:paraId="408C00E8" w14:textId="275034D1" w:rsidR="00474EB5" w:rsidRPr="005D66A0" w:rsidRDefault="00474EB5">
      <w:pPr>
        <w:pStyle w:val="BodyText"/>
      </w:pPr>
      <w:r w:rsidRPr="005D66A0">
        <w:t>In this paper we have discussed various aspects of coexistence in designing NR V2X. It can be observed that the forward compatibility issue is the most important aspect that needs to be studied by RAN1</w:t>
      </w:r>
      <w:r w:rsidR="00B843EE" w:rsidRPr="005D66A0">
        <w:t xml:space="preserve"> in the present study item.</w:t>
      </w:r>
      <w:r w:rsidR="00D00268" w:rsidRPr="005D66A0">
        <w:t xml:space="preserve"> Other aspects of coexistence can be effectively addressed via configuration or preconfiguration of radio resources.</w:t>
      </w:r>
    </w:p>
    <w:p w14:paraId="6741DDDC" w14:textId="0F7953A6" w:rsidR="008E065E" w:rsidRPr="005D66A0" w:rsidRDefault="00CC00D5">
      <w:pPr>
        <w:pStyle w:val="BodyText"/>
        <w:rPr>
          <w:b/>
          <w:bCs/>
        </w:rPr>
      </w:pPr>
      <w:r w:rsidRPr="005D66A0">
        <w:t xml:space="preserve">In particular, </w:t>
      </w:r>
      <w:r w:rsidR="008E065E" w:rsidRPr="005D66A0">
        <w:t>we made the following observations:</w:t>
      </w:r>
      <w:r w:rsidR="00C93814" w:rsidRPr="005D66A0">
        <w:rPr>
          <w:b/>
          <w:bCs/>
        </w:rPr>
        <w:t xml:space="preserve"> </w:t>
      </w:r>
    </w:p>
    <w:p w14:paraId="6EC7D93A" w14:textId="09976292" w:rsidR="002978A8" w:rsidRDefault="006F6582" w:rsidP="00C0360F">
      <w:pPr>
        <w:pStyle w:val="TableofFigures"/>
        <w:tabs>
          <w:tab w:val="right" w:leader="dot" w:pos="9629"/>
        </w:tabs>
        <w:jc w:val="both"/>
        <w:rPr>
          <w:rFonts w:asciiTheme="minorHAnsi" w:eastAsiaTheme="minorEastAsia" w:hAnsiTheme="minorHAnsi" w:cstheme="minorBidi"/>
          <w:b w:val="0"/>
          <w:noProof/>
          <w:sz w:val="22"/>
          <w:szCs w:val="22"/>
          <w:lang w:val="en-US" w:eastAsia="en-US"/>
        </w:rPr>
      </w:pPr>
      <w:r w:rsidRPr="005D66A0">
        <w:rPr>
          <w:b w:val="0"/>
          <w:bCs/>
        </w:rPr>
        <w:fldChar w:fldCharType="begin"/>
      </w:r>
      <w:r w:rsidRPr="005D66A0">
        <w:rPr>
          <w:b w:val="0"/>
          <w:bCs/>
        </w:rPr>
        <w:instrText xml:space="preserve"> TOC \f O \n \h \z \t "Observation" \c </w:instrText>
      </w:r>
      <w:r w:rsidRPr="005D66A0">
        <w:rPr>
          <w:b w:val="0"/>
          <w:bCs/>
        </w:rPr>
        <w:fldChar w:fldCharType="separate"/>
      </w:r>
      <w:bookmarkStart w:id="25" w:name="_GoBack"/>
      <w:r w:rsidR="002978A8" w:rsidRPr="00411CE7">
        <w:rPr>
          <w:rStyle w:val="Hyperlink"/>
          <w:noProof/>
        </w:rPr>
        <w:fldChar w:fldCharType="begin"/>
      </w:r>
      <w:r w:rsidR="002978A8" w:rsidRPr="00411CE7">
        <w:rPr>
          <w:rStyle w:val="Hyperlink"/>
          <w:noProof/>
        </w:rPr>
        <w:instrText xml:space="preserve"> </w:instrText>
      </w:r>
      <w:r w:rsidR="002978A8">
        <w:rPr>
          <w:noProof/>
        </w:rPr>
        <w:instrText>HYPERLINK \l "_Toc521686134"</w:instrText>
      </w:r>
      <w:r w:rsidR="002978A8" w:rsidRPr="00411CE7">
        <w:rPr>
          <w:rStyle w:val="Hyperlink"/>
          <w:noProof/>
        </w:rPr>
        <w:instrText xml:space="preserve"> </w:instrText>
      </w:r>
      <w:r w:rsidR="002978A8" w:rsidRPr="00411CE7">
        <w:rPr>
          <w:rStyle w:val="Hyperlink"/>
          <w:noProof/>
        </w:rPr>
      </w:r>
      <w:r w:rsidR="002978A8" w:rsidRPr="00411CE7">
        <w:rPr>
          <w:rStyle w:val="Hyperlink"/>
          <w:noProof/>
        </w:rPr>
        <w:fldChar w:fldCharType="separate"/>
      </w:r>
      <w:r w:rsidR="002978A8" w:rsidRPr="00411CE7">
        <w:rPr>
          <w:rStyle w:val="Hyperlink"/>
          <w:noProof/>
        </w:rPr>
        <w:t>Observation 1</w:t>
      </w:r>
      <w:r w:rsidR="002978A8">
        <w:rPr>
          <w:rFonts w:asciiTheme="minorHAnsi" w:eastAsiaTheme="minorEastAsia" w:hAnsiTheme="minorHAnsi" w:cstheme="minorBidi"/>
          <w:b w:val="0"/>
          <w:noProof/>
          <w:sz w:val="22"/>
          <w:szCs w:val="22"/>
          <w:lang w:val="en-US" w:eastAsia="en-US"/>
        </w:rPr>
        <w:tab/>
      </w:r>
      <w:r w:rsidR="002978A8" w:rsidRPr="00411CE7">
        <w:rPr>
          <w:rStyle w:val="Hyperlink"/>
          <w:noProof/>
        </w:rPr>
        <w:t>Any UE participating in a service may assume that its messages will be understood by all other UEs interested in the same service.</w:t>
      </w:r>
      <w:r w:rsidR="002978A8" w:rsidRPr="00411CE7">
        <w:rPr>
          <w:rStyle w:val="Hyperlink"/>
          <w:noProof/>
        </w:rPr>
        <w:fldChar w:fldCharType="end"/>
      </w:r>
    </w:p>
    <w:p w14:paraId="03E568E8" w14:textId="007F9F68" w:rsidR="002978A8" w:rsidRDefault="002978A8" w:rsidP="00C0360F">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1686135" w:history="1">
        <w:r w:rsidRPr="00411CE7">
          <w:rPr>
            <w:rStyle w:val="Hyperlink"/>
            <w:noProof/>
          </w:rPr>
          <w:t>Observation 2</w:t>
        </w:r>
        <w:r>
          <w:rPr>
            <w:rFonts w:asciiTheme="minorHAnsi" w:eastAsiaTheme="minorEastAsia" w:hAnsiTheme="minorHAnsi" w:cstheme="minorBidi"/>
            <w:b w:val="0"/>
            <w:noProof/>
            <w:sz w:val="22"/>
            <w:szCs w:val="22"/>
            <w:lang w:val="en-US" w:eastAsia="en-US"/>
          </w:rPr>
          <w:tab/>
        </w:r>
        <w:r w:rsidRPr="00411CE7">
          <w:rPr>
            <w:rStyle w:val="Hyperlink"/>
            <w:noProof/>
          </w:rPr>
          <w:t>Forward compatibility of NR V2X is essential to support future V2X services.</w:t>
        </w:r>
      </w:hyperlink>
    </w:p>
    <w:bookmarkEnd w:id="25"/>
    <w:p w14:paraId="7AFEA5AA" w14:textId="24986E50" w:rsidR="006E1C82" w:rsidRPr="005D66A0" w:rsidRDefault="006F6582">
      <w:pPr>
        <w:pStyle w:val="BodyText"/>
      </w:pPr>
      <w:r w:rsidRPr="005D66A0">
        <w:rPr>
          <w:b/>
          <w:bCs/>
        </w:rPr>
        <w:fldChar w:fldCharType="end"/>
      </w:r>
      <w:r w:rsidR="00CC00D5" w:rsidRPr="005D66A0">
        <w:t>and</w:t>
      </w:r>
      <w:r w:rsidR="008E065E" w:rsidRPr="005D66A0">
        <w:t xml:space="preserve"> we propose</w:t>
      </w:r>
      <w:r w:rsidR="00CC00D5" w:rsidRPr="005D66A0">
        <w:t>d</w:t>
      </w:r>
      <w:r w:rsidR="008E065E" w:rsidRPr="005D66A0">
        <w:t xml:space="preserve"> the following:</w:t>
      </w:r>
    </w:p>
    <w:p w14:paraId="1EFE20F9" w14:textId="185E9818" w:rsidR="002978A8" w:rsidRDefault="006E1C82" w:rsidP="00C0360F">
      <w:pPr>
        <w:pStyle w:val="TableofFigures"/>
        <w:tabs>
          <w:tab w:val="right" w:leader="dot" w:pos="9629"/>
        </w:tabs>
        <w:jc w:val="both"/>
        <w:rPr>
          <w:rFonts w:asciiTheme="minorHAnsi" w:eastAsiaTheme="minorEastAsia" w:hAnsiTheme="minorHAnsi" w:cstheme="minorBidi"/>
          <w:b w:val="0"/>
          <w:noProof/>
          <w:sz w:val="22"/>
          <w:szCs w:val="22"/>
          <w:lang w:val="en-US" w:eastAsia="en-US"/>
        </w:rPr>
      </w:pPr>
      <w:r w:rsidRPr="005D66A0">
        <w:rPr>
          <w:b w:val="0"/>
          <w:bCs/>
          <w:lang w:val="en-US"/>
        </w:rPr>
        <w:fldChar w:fldCharType="begin"/>
      </w:r>
      <w:r w:rsidRPr="005D66A0">
        <w:rPr>
          <w:b w:val="0"/>
          <w:bCs/>
          <w:lang w:val="en-US"/>
        </w:rPr>
        <w:instrText xml:space="preserve"> TOC \n \h \z \t "Proposal" \c </w:instrText>
      </w:r>
      <w:r w:rsidRPr="005D66A0">
        <w:rPr>
          <w:b w:val="0"/>
          <w:bCs/>
          <w:lang w:val="en-US"/>
        </w:rPr>
        <w:fldChar w:fldCharType="separate"/>
      </w:r>
      <w:hyperlink w:anchor="_Toc521686128" w:history="1">
        <w:r w:rsidR="002978A8" w:rsidRPr="00DE218F">
          <w:rPr>
            <w:rStyle w:val="Hyperlink"/>
            <w:noProof/>
          </w:rPr>
          <w:t>Proposal 1</w:t>
        </w:r>
        <w:r w:rsidR="002978A8">
          <w:rPr>
            <w:rFonts w:asciiTheme="minorHAnsi" w:eastAsiaTheme="minorEastAsia" w:hAnsiTheme="minorHAnsi" w:cstheme="minorBidi"/>
            <w:b w:val="0"/>
            <w:noProof/>
            <w:sz w:val="22"/>
            <w:szCs w:val="22"/>
            <w:lang w:val="en-US" w:eastAsia="en-US"/>
          </w:rPr>
          <w:tab/>
        </w:r>
        <w:r w:rsidR="002978A8" w:rsidRPr="00DE218F">
          <w:rPr>
            <w:rStyle w:val="Hyperlink"/>
            <w:noProof/>
          </w:rPr>
          <w:t>Interoperability is ensured at service level.</w:t>
        </w:r>
      </w:hyperlink>
    </w:p>
    <w:p w14:paraId="1643A895" w14:textId="404BAFB8" w:rsidR="002978A8" w:rsidRDefault="002978A8" w:rsidP="00C0360F">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1686129" w:history="1">
        <w:r w:rsidRPr="00DE218F">
          <w:rPr>
            <w:rStyle w:val="Hyperlink"/>
            <w:noProof/>
          </w:rPr>
          <w:t>Proposal 2</w:t>
        </w:r>
        <w:r>
          <w:rPr>
            <w:rFonts w:asciiTheme="minorHAnsi" w:eastAsiaTheme="minorEastAsia" w:hAnsiTheme="minorHAnsi" w:cstheme="minorBidi"/>
            <w:b w:val="0"/>
            <w:noProof/>
            <w:sz w:val="22"/>
            <w:szCs w:val="22"/>
            <w:lang w:val="en-US" w:eastAsia="en-US"/>
          </w:rPr>
          <w:tab/>
        </w:r>
        <w:r w:rsidRPr="00DE218F">
          <w:rPr>
            <w:rStyle w:val="Hyperlink"/>
            <w:noProof/>
          </w:rPr>
          <w:t>RAN2 to lead the study on interoperability at service level.</w:t>
        </w:r>
      </w:hyperlink>
    </w:p>
    <w:p w14:paraId="3CA7117A" w14:textId="63C30229" w:rsidR="002978A8" w:rsidRDefault="002978A8" w:rsidP="00C0360F">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1686130" w:history="1">
        <w:r w:rsidRPr="00DE218F">
          <w:rPr>
            <w:rStyle w:val="Hyperlink"/>
            <w:noProof/>
          </w:rPr>
          <w:t>Proposal 3</w:t>
        </w:r>
        <w:r>
          <w:rPr>
            <w:rFonts w:asciiTheme="minorHAnsi" w:eastAsiaTheme="minorEastAsia" w:hAnsiTheme="minorHAnsi" w:cstheme="minorBidi"/>
            <w:b w:val="0"/>
            <w:noProof/>
            <w:sz w:val="22"/>
            <w:szCs w:val="22"/>
            <w:lang w:val="en-US" w:eastAsia="en-US"/>
          </w:rPr>
          <w:tab/>
        </w:r>
        <w:r w:rsidRPr="00DE218F">
          <w:rPr>
            <w:rStyle w:val="Hyperlink"/>
            <w:noProof/>
          </w:rPr>
          <w:t>Forward compatibility considerations are prioritized in NR sidelink design.</w:t>
        </w:r>
      </w:hyperlink>
    </w:p>
    <w:p w14:paraId="70565BBF" w14:textId="1067B2CC" w:rsidR="002978A8" w:rsidRDefault="002978A8" w:rsidP="00C0360F">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1686131" w:history="1">
        <w:r w:rsidRPr="00DE218F">
          <w:rPr>
            <w:rStyle w:val="Hyperlink"/>
            <w:noProof/>
          </w:rPr>
          <w:t>Proposal 4</w:t>
        </w:r>
        <w:r>
          <w:rPr>
            <w:rFonts w:asciiTheme="minorHAnsi" w:eastAsiaTheme="minorEastAsia" w:hAnsiTheme="minorHAnsi" w:cstheme="minorBidi"/>
            <w:b w:val="0"/>
            <w:noProof/>
            <w:sz w:val="22"/>
            <w:szCs w:val="22"/>
            <w:lang w:val="en-US" w:eastAsia="en-US"/>
          </w:rPr>
          <w:tab/>
        </w:r>
        <w:r w:rsidRPr="00DE218F">
          <w:rPr>
            <w:rStyle w:val="Hyperlink"/>
            <w:noProof/>
          </w:rPr>
          <w:t>The coexistence of NR PC5 and NR Uu is managed by gNB control (for the in-coverage scenario) or by using pre-configuration (for the out-of-coverage scenario).</w:t>
        </w:r>
      </w:hyperlink>
    </w:p>
    <w:p w14:paraId="3C0A93D7" w14:textId="229AEE6D" w:rsidR="002978A8" w:rsidRDefault="002978A8" w:rsidP="00C0360F">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1686132" w:history="1">
        <w:r w:rsidRPr="00DE218F">
          <w:rPr>
            <w:rStyle w:val="Hyperlink"/>
            <w:noProof/>
          </w:rPr>
          <w:t>Proposal 5</w:t>
        </w:r>
        <w:r>
          <w:rPr>
            <w:rFonts w:asciiTheme="minorHAnsi" w:eastAsiaTheme="minorEastAsia" w:hAnsiTheme="minorHAnsi" w:cstheme="minorBidi"/>
            <w:b w:val="0"/>
            <w:noProof/>
            <w:sz w:val="22"/>
            <w:szCs w:val="22"/>
            <w:lang w:val="en-US" w:eastAsia="en-US"/>
          </w:rPr>
          <w:tab/>
        </w:r>
        <w:r w:rsidRPr="00DE218F">
          <w:rPr>
            <w:rStyle w:val="Hyperlink"/>
            <w:noProof/>
          </w:rPr>
          <w:t>Study of mechanisms to protect cellular communications from sidelink interference is prioritized.</w:t>
        </w:r>
      </w:hyperlink>
    </w:p>
    <w:p w14:paraId="7CD676D8" w14:textId="671E219A" w:rsidR="002978A8" w:rsidRDefault="002978A8" w:rsidP="00C0360F">
      <w:pPr>
        <w:pStyle w:val="TableofFigures"/>
        <w:tabs>
          <w:tab w:val="right" w:leader="dot" w:pos="9629"/>
        </w:tabs>
        <w:jc w:val="both"/>
        <w:rPr>
          <w:rFonts w:asciiTheme="minorHAnsi" w:eastAsiaTheme="minorEastAsia" w:hAnsiTheme="minorHAnsi" w:cstheme="minorBidi"/>
          <w:b w:val="0"/>
          <w:noProof/>
          <w:sz w:val="22"/>
          <w:szCs w:val="22"/>
          <w:lang w:val="en-US" w:eastAsia="en-US"/>
        </w:rPr>
      </w:pPr>
      <w:hyperlink w:anchor="_Toc521686133" w:history="1">
        <w:r w:rsidRPr="00DE218F">
          <w:rPr>
            <w:rStyle w:val="Hyperlink"/>
            <w:noProof/>
          </w:rPr>
          <w:t>Proposal 6</w:t>
        </w:r>
        <w:r>
          <w:rPr>
            <w:rFonts w:asciiTheme="minorHAnsi" w:eastAsiaTheme="minorEastAsia" w:hAnsiTheme="minorHAnsi" w:cstheme="minorBidi"/>
            <w:b w:val="0"/>
            <w:noProof/>
            <w:sz w:val="22"/>
            <w:szCs w:val="22"/>
            <w:lang w:val="en-US" w:eastAsia="en-US"/>
          </w:rPr>
          <w:tab/>
        </w:r>
        <w:r w:rsidRPr="00DE218F">
          <w:rPr>
            <w:rStyle w:val="Hyperlink"/>
            <w:noProof/>
          </w:rPr>
          <w:t>In the non-standalone mode, NR sidelink and LTE cellular may share the same spectrum but are configured with disjunct resource pools.</w:t>
        </w:r>
      </w:hyperlink>
    </w:p>
    <w:p w14:paraId="7203AEF7" w14:textId="3CC4760C" w:rsidR="00F507D1" w:rsidRPr="005D66A0" w:rsidRDefault="006E1C82" w:rsidP="00772C6D">
      <w:pPr>
        <w:pStyle w:val="Heading1"/>
        <w:jc w:val="both"/>
      </w:pPr>
      <w:r w:rsidRPr="005D66A0">
        <w:rPr>
          <w:b/>
          <w:bCs/>
          <w:lang w:val="en-US" w:eastAsia="zh-CN"/>
        </w:rPr>
        <w:fldChar w:fldCharType="end"/>
      </w:r>
      <w:r w:rsidRPr="005D66A0">
        <w:rPr>
          <w:bCs/>
        </w:rPr>
        <w:t xml:space="preserve"> </w:t>
      </w:r>
      <w:bookmarkStart w:id="26" w:name="_In-sequence_SDU_delivery"/>
      <w:bookmarkEnd w:id="26"/>
      <w:r w:rsidR="005D66A0" w:rsidRPr="005D66A0">
        <w:rPr>
          <w:bCs/>
        </w:rPr>
        <w:t>4</w:t>
      </w:r>
      <w:r w:rsidR="005D66A0" w:rsidRPr="005D66A0">
        <w:rPr>
          <w:b/>
          <w:bCs/>
        </w:rPr>
        <w:tab/>
      </w:r>
      <w:r w:rsidR="00F507D1" w:rsidRPr="005D66A0">
        <w:t>References</w:t>
      </w:r>
    </w:p>
    <w:p w14:paraId="037C2A5E" w14:textId="64631ABF" w:rsidR="005C6A88" w:rsidRPr="005D66A0" w:rsidRDefault="005C6A88" w:rsidP="00311702">
      <w:pPr>
        <w:pStyle w:val="Reference"/>
      </w:pPr>
      <w:bookmarkStart w:id="27" w:name="_Ref517523976"/>
      <w:bookmarkStart w:id="28" w:name="_Ref174151459"/>
      <w:bookmarkStart w:id="29" w:name="_Ref189809556"/>
      <w:r w:rsidRPr="005D66A0">
        <w:t>RP-181429, New SID: Study on NR V2X, 3GPP TSG RAN Meeting #80, June 2018</w:t>
      </w:r>
      <w:bookmarkEnd w:id="27"/>
      <w:r w:rsidR="005B5C79" w:rsidRPr="005D66A0">
        <w:t>.</w:t>
      </w:r>
    </w:p>
    <w:p w14:paraId="4906005B" w14:textId="472D3983" w:rsidR="00702697" w:rsidRPr="005D66A0" w:rsidRDefault="00702697" w:rsidP="00311702">
      <w:pPr>
        <w:pStyle w:val="Reference"/>
      </w:pPr>
      <w:bookmarkStart w:id="30" w:name="_Ref521309451"/>
      <w:r w:rsidRPr="005D66A0">
        <w:t>R1-</w:t>
      </w:r>
      <w:r w:rsidR="00D218DD" w:rsidRPr="005D66A0">
        <w:t>1809314</w:t>
      </w:r>
      <w:r w:rsidRPr="005D66A0">
        <w:t>, “On objectives of NR V2X system”, RAN1#94</w:t>
      </w:r>
      <w:r w:rsidR="00147618" w:rsidRPr="005D66A0">
        <w:t>, August 2018.</w:t>
      </w:r>
      <w:bookmarkEnd w:id="30"/>
      <w:r w:rsidRPr="005D66A0">
        <w:t xml:space="preserve"> </w:t>
      </w:r>
    </w:p>
    <w:p w14:paraId="0B8FA1C2" w14:textId="2D043B13" w:rsidR="00147618" w:rsidRPr="005D66A0" w:rsidRDefault="00147618" w:rsidP="00311702">
      <w:pPr>
        <w:pStyle w:val="Reference"/>
      </w:pPr>
      <w:bookmarkStart w:id="31" w:name="_Ref521267087"/>
      <w:r w:rsidRPr="005D66A0">
        <w:t>R1-</w:t>
      </w:r>
      <w:r w:rsidR="00D218DD" w:rsidRPr="005D66A0">
        <w:t>180</w:t>
      </w:r>
      <w:r w:rsidR="005D66A0" w:rsidRPr="005D66A0">
        <w:t>9302</w:t>
      </w:r>
      <w:r w:rsidRPr="005D66A0">
        <w:t xml:space="preserve">, “Physical layer design of NR </w:t>
      </w:r>
      <w:proofErr w:type="spellStart"/>
      <w:r w:rsidRPr="005D66A0">
        <w:t>sidelink</w:t>
      </w:r>
      <w:proofErr w:type="spellEnd"/>
      <w:r w:rsidRPr="005D66A0">
        <w:t>”, RAN</w:t>
      </w:r>
      <w:r w:rsidR="009E5BA1" w:rsidRPr="005D66A0">
        <w:t>1</w:t>
      </w:r>
      <w:r w:rsidRPr="005D66A0">
        <w:t>#94, August 2018.</w:t>
      </w:r>
      <w:bookmarkEnd w:id="31"/>
    </w:p>
    <w:bookmarkEnd w:id="28"/>
    <w:bookmarkEnd w:id="29"/>
    <w:p w14:paraId="0034D3CC" w14:textId="7FD1C1C5" w:rsidR="003A7EF3" w:rsidRDefault="003A7EF3" w:rsidP="00CE0424">
      <w:pPr>
        <w:pStyle w:val="BodyText"/>
      </w:pPr>
    </w:p>
    <w:sectPr w:rsidR="003A7EF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59B8F" w14:textId="77777777" w:rsidR="00656239" w:rsidRDefault="00656239">
      <w:r>
        <w:separator/>
      </w:r>
    </w:p>
  </w:endnote>
  <w:endnote w:type="continuationSeparator" w:id="0">
    <w:p w14:paraId="29796680" w14:textId="77777777" w:rsidR="00656239" w:rsidRDefault="00656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5CC92" w14:textId="77777777" w:rsidR="00656239" w:rsidRDefault="00656239">
      <w:r>
        <w:separator/>
      </w:r>
    </w:p>
  </w:footnote>
  <w:footnote w:type="continuationSeparator" w:id="0">
    <w:p w14:paraId="2234D993" w14:textId="77777777" w:rsidR="00656239" w:rsidRDefault="00656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64E0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DABA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E760A7"/>
    <w:multiLevelType w:val="hybridMultilevel"/>
    <w:tmpl w:val="5C905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7D0EC2"/>
    <w:multiLevelType w:val="hybridMultilevel"/>
    <w:tmpl w:val="DB5007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2E46BB6"/>
    <w:multiLevelType w:val="hybridMultilevel"/>
    <w:tmpl w:val="05A25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CB3A14"/>
    <w:multiLevelType w:val="hybridMultilevel"/>
    <w:tmpl w:val="AD16B298"/>
    <w:lvl w:ilvl="0" w:tplc="04090001">
      <w:start w:val="1"/>
      <w:numFmt w:val="bullet"/>
      <w:lvlText w:val=""/>
      <w:lvlJc w:val="left"/>
      <w:pPr>
        <w:ind w:left="3271" w:hanging="360"/>
      </w:pPr>
      <w:rPr>
        <w:rFonts w:ascii="Symbol" w:hAnsi="Symbol" w:hint="default"/>
      </w:rPr>
    </w:lvl>
    <w:lvl w:ilvl="1" w:tplc="04090003" w:tentative="1">
      <w:start w:val="1"/>
      <w:numFmt w:val="bullet"/>
      <w:lvlText w:val="o"/>
      <w:lvlJc w:val="left"/>
      <w:pPr>
        <w:ind w:left="3991" w:hanging="360"/>
      </w:pPr>
      <w:rPr>
        <w:rFonts w:ascii="Courier New" w:hAnsi="Courier New" w:cs="Courier New" w:hint="default"/>
      </w:rPr>
    </w:lvl>
    <w:lvl w:ilvl="2" w:tplc="04090005" w:tentative="1">
      <w:start w:val="1"/>
      <w:numFmt w:val="bullet"/>
      <w:lvlText w:val=""/>
      <w:lvlJc w:val="left"/>
      <w:pPr>
        <w:ind w:left="4711" w:hanging="360"/>
      </w:pPr>
      <w:rPr>
        <w:rFonts w:ascii="Wingdings" w:hAnsi="Wingdings" w:hint="default"/>
      </w:rPr>
    </w:lvl>
    <w:lvl w:ilvl="3" w:tplc="04090001" w:tentative="1">
      <w:start w:val="1"/>
      <w:numFmt w:val="bullet"/>
      <w:lvlText w:val=""/>
      <w:lvlJc w:val="left"/>
      <w:pPr>
        <w:ind w:left="5431" w:hanging="360"/>
      </w:pPr>
      <w:rPr>
        <w:rFonts w:ascii="Symbol" w:hAnsi="Symbol" w:hint="default"/>
      </w:rPr>
    </w:lvl>
    <w:lvl w:ilvl="4" w:tplc="04090003" w:tentative="1">
      <w:start w:val="1"/>
      <w:numFmt w:val="bullet"/>
      <w:lvlText w:val="o"/>
      <w:lvlJc w:val="left"/>
      <w:pPr>
        <w:ind w:left="6151" w:hanging="360"/>
      </w:pPr>
      <w:rPr>
        <w:rFonts w:ascii="Courier New" w:hAnsi="Courier New" w:cs="Courier New" w:hint="default"/>
      </w:rPr>
    </w:lvl>
    <w:lvl w:ilvl="5" w:tplc="04090005" w:tentative="1">
      <w:start w:val="1"/>
      <w:numFmt w:val="bullet"/>
      <w:lvlText w:val=""/>
      <w:lvlJc w:val="left"/>
      <w:pPr>
        <w:ind w:left="6871" w:hanging="360"/>
      </w:pPr>
      <w:rPr>
        <w:rFonts w:ascii="Wingdings" w:hAnsi="Wingdings" w:hint="default"/>
      </w:rPr>
    </w:lvl>
    <w:lvl w:ilvl="6" w:tplc="04090001" w:tentative="1">
      <w:start w:val="1"/>
      <w:numFmt w:val="bullet"/>
      <w:lvlText w:val=""/>
      <w:lvlJc w:val="left"/>
      <w:pPr>
        <w:ind w:left="7591" w:hanging="360"/>
      </w:pPr>
      <w:rPr>
        <w:rFonts w:ascii="Symbol" w:hAnsi="Symbol" w:hint="default"/>
      </w:rPr>
    </w:lvl>
    <w:lvl w:ilvl="7" w:tplc="04090003" w:tentative="1">
      <w:start w:val="1"/>
      <w:numFmt w:val="bullet"/>
      <w:lvlText w:val="o"/>
      <w:lvlJc w:val="left"/>
      <w:pPr>
        <w:ind w:left="8311" w:hanging="360"/>
      </w:pPr>
      <w:rPr>
        <w:rFonts w:ascii="Courier New" w:hAnsi="Courier New" w:cs="Courier New" w:hint="default"/>
      </w:rPr>
    </w:lvl>
    <w:lvl w:ilvl="8" w:tplc="04090005" w:tentative="1">
      <w:start w:val="1"/>
      <w:numFmt w:val="bullet"/>
      <w:lvlText w:val=""/>
      <w:lvlJc w:val="left"/>
      <w:pPr>
        <w:ind w:left="9031"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D55CDF"/>
    <w:multiLevelType w:val="hybridMultilevel"/>
    <w:tmpl w:val="EECA4046"/>
    <w:lvl w:ilvl="0" w:tplc="67E65F6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7EB506C"/>
    <w:multiLevelType w:val="hybridMultilevel"/>
    <w:tmpl w:val="363E6A8C"/>
    <w:lvl w:ilvl="0" w:tplc="D1AC4C6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4"/>
  </w:num>
  <w:num w:numId="4">
    <w:abstractNumId w:val="15"/>
  </w:num>
  <w:num w:numId="5">
    <w:abstractNumId w:val="10"/>
  </w:num>
  <w:num w:numId="6">
    <w:abstractNumId w:val="19"/>
  </w:num>
  <w:num w:numId="7">
    <w:abstractNumId w:val="24"/>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5"/>
  </w:num>
  <w:num w:numId="17">
    <w:abstractNumId w:val="7"/>
  </w:num>
  <w:num w:numId="18">
    <w:abstractNumId w:val="8"/>
  </w:num>
  <w:num w:numId="19">
    <w:abstractNumId w:val="6"/>
  </w:num>
  <w:num w:numId="20">
    <w:abstractNumId w:val="28"/>
  </w:num>
  <w:num w:numId="21">
    <w:abstractNumId w:val="13"/>
  </w:num>
  <w:num w:numId="22">
    <w:abstractNumId w:val="26"/>
  </w:num>
  <w:num w:numId="23">
    <w:abstractNumId w:val="12"/>
  </w:num>
  <w:num w:numId="24">
    <w:abstractNumId w:val="27"/>
  </w:num>
  <w:num w:numId="25">
    <w:abstractNumId w:val="14"/>
  </w:num>
  <w:num w:numId="26">
    <w:abstractNumId w:val="14"/>
  </w:num>
  <w:num w:numId="27">
    <w:abstractNumId w:val="14"/>
  </w:num>
  <w:num w:numId="28">
    <w:abstractNumId w:val="3"/>
  </w:num>
  <w:num w:numId="29">
    <w:abstractNumId w:val="29"/>
  </w:num>
  <w:num w:numId="30">
    <w:abstractNumId w:val="23"/>
  </w:num>
  <w:num w:numId="31">
    <w:abstractNumId w:val="18"/>
  </w:num>
  <w:num w:numId="32">
    <w:abstractNumId w:val="16"/>
  </w:num>
  <w:num w:numId="33">
    <w:abstractNumId w:val="3"/>
  </w:num>
  <w:num w:numId="34">
    <w:abstractNumId w:val="5"/>
  </w:num>
  <w:num w:numId="35">
    <w:abstractNumId w:val="14"/>
  </w:num>
  <w:num w:numId="3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0F88"/>
    <w:rsid w:val="00002A37"/>
    <w:rsid w:val="00003C91"/>
    <w:rsid w:val="0000564C"/>
    <w:rsid w:val="00006446"/>
    <w:rsid w:val="00006896"/>
    <w:rsid w:val="00007CDC"/>
    <w:rsid w:val="00011B28"/>
    <w:rsid w:val="00015D15"/>
    <w:rsid w:val="0002564D"/>
    <w:rsid w:val="00025ECA"/>
    <w:rsid w:val="000325B8"/>
    <w:rsid w:val="00034C15"/>
    <w:rsid w:val="00036BA1"/>
    <w:rsid w:val="00041BA3"/>
    <w:rsid w:val="000422E2"/>
    <w:rsid w:val="00042F22"/>
    <w:rsid w:val="000436F9"/>
    <w:rsid w:val="000444EF"/>
    <w:rsid w:val="000505CC"/>
    <w:rsid w:val="000523C0"/>
    <w:rsid w:val="00052A07"/>
    <w:rsid w:val="000534E3"/>
    <w:rsid w:val="0005606A"/>
    <w:rsid w:val="00057117"/>
    <w:rsid w:val="000616E7"/>
    <w:rsid w:val="0006487E"/>
    <w:rsid w:val="00065E1A"/>
    <w:rsid w:val="00077E5F"/>
    <w:rsid w:val="0008036A"/>
    <w:rsid w:val="00081AE6"/>
    <w:rsid w:val="00084D9D"/>
    <w:rsid w:val="000855EB"/>
    <w:rsid w:val="00085B52"/>
    <w:rsid w:val="000864C7"/>
    <w:rsid w:val="000866F2"/>
    <w:rsid w:val="00086D9D"/>
    <w:rsid w:val="0009009F"/>
    <w:rsid w:val="000914C8"/>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313F"/>
    <w:rsid w:val="000F06D6"/>
    <w:rsid w:val="000F0C39"/>
    <w:rsid w:val="000F0EB1"/>
    <w:rsid w:val="000F1106"/>
    <w:rsid w:val="000F3BE9"/>
    <w:rsid w:val="000F3F6C"/>
    <w:rsid w:val="000F6DF3"/>
    <w:rsid w:val="001005FF"/>
    <w:rsid w:val="001062FB"/>
    <w:rsid w:val="001063E6"/>
    <w:rsid w:val="00113CF4"/>
    <w:rsid w:val="001153EA"/>
    <w:rsid w:val="001154DE"/>
    <w:rsid w:val="00115643"/>
    <w:rsid w:val="00116765"/>
    <w:rsid w:val="00121198"/>
    <w:rsid w:val="001219F5"/>
    <w:rsid w:val="00121A20"/>
    <w:rsid w:val="0012377F"/>
    <w:rsid w:val="00124314"/>
    <w:rsid w:val="00126B4A"/>
    <w:rsid w:val="00127079"/>
    <w:rsid w:val="00127699"/>
    <w:rsid w:val="00132FD0"/>
    <w:rsid w:val="001344C0"/>
    <w:rsid w:val="001346FA"/>
    <w:rsid w:val="00135252"/>
    <w:rsid w:val="00135BFE"/>
    <w:rsid w:val="00137AB5"/>
    <w:rsid w:val="00137F0B"/>
    <w:rsid w:val="00140FEC"/>
    <w:rsid w:val="001456BD"/>
    <w:rsid w:val="00147618"/>
    <w:rsid w:val="0015119A"/>
    <w:rsid w:val="00151E23"/>
    <w:rsid w:val="001526E0"/>
    <w:rsid w:val="00155072"/>
    <w:rsid w:val="001551B5"/>
    <w:rsid w:val="001659C1"/>
    <w:rsid w:val="00173A8E"/>
    <w:rsid w:val="0017502C"/>
    <w:rsid w:val="00176F38"/>
    <w:rsid w:val="00180A14"/>
    <w:rsid w:val="0018143F"/>
    <w:rsid w:val="00181FF8"/>
    <w:rsid w:val="00190AC1"/>
    <w:rsid w:val="0019341A"/>
    <w:rsid w:val="00194D8E"/>
    <w:rsid w:val="00197DF9"/>
    <w:rsid w:val="001A1987"/>
    <w:rsid w:val="001A2564"/>
    <w:rsid w:val="001A6173"/>
    <w:rsid w:val="001A6CBA"/>
    <w:rsid w:val="001B0D97"/>
    <w:rsid w:val="001B5A5D"/>
    <w:rsid w:val="001C09B7"/>
    <w:rsid w:val="001C0BC2"/>
    <w:rsid w:val="001C1CE5"/>
    <w:rsid w:val="001C3D2A"/>
    <w:rsid w:val="001D51BA"/>
    <w:rsid w:val="001D53E7"/>
    <w:rsid w:val="001D6342"/>
    <w:rsid w:val="001D6D53"/>
    <w:rsid w:val="001E13FD"/>
    <w:rsid w:val="001E58E2"/>
    <w:rsid w:val="001E7AED"/>
    <w:rsid w:val="001F19C8"/>
    <w:rsid w:val="001F3916"/>
    <w:rsid w:val="001F54C5"/>
    <w:rsid w:val="001F662C"/>
    <w:rsid w:val="001F7015"/>
    <w:rsid w:val="001F7074"/>
    <w:rsid w:val="00200490"/>
    <w:rsid w:val="00201254"/>
    <w:rsid w:val="00201D0F"/>
    <w:rsid w:val="00201F3A"/>
    <w:rsid w:val="00203F96"/>
    <w:rsid w:val="002069B2"/>
    <w:rsid w:val="00207FA3"/>
    <w:rsid w:val="00214DA8"/>
    <w:rsid w:val="00215423"/>
    <w:rsid w:val="002158FA"/>
    <w:rsid w:val="00220600"/>
    <w:rsid w:val="002224DB"/>
    <w:rsid w:val="00223FCB"/>
    <w:rsid w:val="002252C3"/>
    <w:rsid w:val="00225C54"/>
    <w:rsid w:val="0023037A"/>
    <w:rsid w:val="00230765"/>
    <w:rsid w:val="00230D18"/>
    <w:rsid w:val="002319E4"/>
    <w:rsid w:val="00231AF1"/>
    <w:rsid w:val="00235632"/>
    <w:rsid w:val="00235872"/>
    <w:rsid w:val="00241559"/>
    <w:rsid w:val="00242324"/>
    <w:rsid w:val="0024236B"/>
    <w:rsid w:val="002435B3"/>
    <w:rsid w:val="002458EB"/>
    <w:rsid w:val="002500C8"/>
    <w:rsid w:val="00253F06"/>
    <w:rsid w:val="002543DF"/>
    <w:rsid w:val="00257543"/>
    <w:rsid w:val="002617E7"/>
    <w:rsid w:val="00264228"/>
    <w:rsid w:val="00264334"/>
    <w:rsid w:val="0026473E"/>
    <w:rsid w:val="00265FA7"/>
    <w:rsid w:val="00266214"/>
    <w:rsid w:val="00267C83"/>
    <w:rsid w:val="0027144F"/>
    <w:rsid w:val="00271813"/>
    <w:rsid w:val="00271F3A"/>
    <w:rsid w:val="00273278"/>
    <w:rsid w:val="00273332"/>
    <w:rsid w:val="002737F4"/>
    <w:rsid w:val="0028005D"/>
    <w:rsid w:val="002805F5"/>
    <w:rsid w:val="00280751"/>
    <w:rsid w:val="002817AC"/>
    <w:rsid w:val="0028280A"/>
    <w:rsid w:val="002847B3"/>
    <w:rsid w:val="00286ACD"/>
    <w:rsid w:val="00287838"/>
    <w:rsid w:val="002907B5"/>
    <w:rsid w:val="00292EB7"/>
    <w:rsid w:val="00296227"/>
    <w:rsid w:val="00296F44"/>
    <w:rsid w:val="0029777D"/>
    <w:rsid w:val="002978A8"/>
    <w:rsid w:val="002A055E"/>
    <w:rsid w:val="002A1D4E"/>
    <w:rsid w:val="002A2869"/>
    <w:rsid w:val="002A39A4"/>
    <w:rsid w:val="002B24D6"/>
    <w:rsid w:val="002C41E6"/>
    <w:rsid w:val="002D071A"/>
    <w:rsid w:val="002D115C"/>
    <w:rsid w:val="002D34B2"/>
    <w:rsid w:val="002D48B0"/>
    <w:rsid w:val="002D5672"/>
    <w:rsid w:val="002D5B37"/>
    <w:rsid w:val="002D7637"/>
    <w:rsid w:val="002E15FF"/>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2ED"/>
    <w:rsid w:val="00322B78"/>
    <w:rsid w:val="00322BDA"/>
    <w:rsid w:val="00322C9F"/>
    <w:rsid w:val="00323435"/>
    <w:rsid w:val="00324D23"/>
    <w:rsid w:val="00330B29"/>
    <w:rsid w:val="00331751"/>
    <w:rsid w:val="00333262"/>
    <w:rsid w:val="00334579"/>
    <w:rsid w:val="00335858"/>
    <w:rsid w:val="00336BDA"/>
    <w:rsid w:val="0033752F"/>
    <w:rsid w:val="00342008"/>
    <w:rsid w:val="00342BD7"/>
    <w:rsid w:val="00346DB5"/>
    <w:rsid w:val="003477B1"/>
    <w:rsid w:val="0035041D"/>
    <w:rsid w:val="00357380"/>
    <w:rsid w:val="003602D9"/>
    <w:rsid w:val="003604CE"/>
    <w:rsid w:val="00360F3C"/>
    <w:rsid w:val="003622E2"/>
    <w:rsid w:val="00370E47"/>
    <w:rsid w:val="0037125F"/>
    <w:rsid w:val="00372264"/>
    <w:rsid w:val="003742AC"/>
    <w:rsid w:val="00377CE1"/>
    <w:rsid w:val="00377D54"/>
    <w:rsid w:val="00385BF0"/>
    <w:rsid w:val="00392D14"/>
    <w:rsid w:val="003939FF"/>
    <w:rsid w:val="003A159B"/>
    <w:rsid w:val="003A2223"/>
    <w:rsid w:val="003A2A0F"/>
    <w:rsid w:val="003A44EB"/>
    <w:rsid w:val="003A45A1"/>
    <w:rsid w:val="003A5B0A"/>
    <w:rsid w:val="003A6BAC"/>
    <w:rsid w:val="003A70A4"/>
    <w:rsid w:val="003A7C95"/>
    <w:rsid w:val="003A7EF3"/>
    <w:rsid w:val="003B159C"/>
    <w:rsid w:val="003B369F"/>
    <w:rsid w:val="003B36A3"/>
    <w:rsid w:val="003B64BB"/>
    <w:rsid w:val="003B7FE5"/>
    <w:rsid w:val="003C11C8"/>
    <w:rsid w:val="003C2702"/>
    <w:rsid w:val="003C7806"/>
    <w:rsid w:val="003C7AA1"/>
    <w:rsid w:val="003D109F"/>
    <w:rsid w:val="003D2478"/>
    <w:rsid w:val="003D3C45"/>
    <w:rsid w:val="003D4131"/>
    <w:rsid w:val="003D5B1F"/>
    <w:rsid w:val="003D7364"/>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487B"/>
    <w:rsid w:val="00421105"/>
    <w:rsid w:val="00422AA4"/>
    <w:rsid w:val="004242F4"/>
    <w:rsid w:val="00427248"/>
    <w:rsid w:val="00437447"/>
    <w:rsid w:val="00441A92"/>
    <w:rsid w:val="004431DC"/>
    <w:rsid w:val="00443965"/>
    <w:rsid w:val="00444F56"/>
    <w:rsid w:val="00446488"/>
    <w:rsid w:val="00447AAF"/>
    <w:rsid w:val="004517AA"/>
    <w:rsid w:val="00452CAC"/>
    <w:rsid w:val="00457565"/>
    <w:rsid w:val="00457B71"/>
    <w:rsid w:val="0046183B"/>
    <w:rsid w:val="00465296"/>
    <w:rsid w:val="004669E2"/>
    <w:rsid w:val="00470C31"/>
    <w:rsid w:val="00471DE0"/>
    <w:rsid w:val="00473125"/>
    <w:rsid w:val="004734D0"/>
    <w:rsid w:val="004736E2"/>
    <w:rsid w:val="00474EB5"/>
    <w:rsid w:val="0047556B"/>
    <w:rsid w:val="00477768"/>
    <w:rsid w:val="00480FA3"/>
    <w:rsid w:val="00483EE9"/>
    <w:rsid w:val="00492BC5"/>
    <w:rsid w:val="004964F1"/>
    <w:rsid w:val="004A16BC"/>
    <w:rsid w:val="004A289F"/>
    <w:rsid w:val="004A2B94"/>
    <w:rsid w:val="004A4C04"/>
    <w:rsid w:val="004B00C9"/>
    <w:rsid w:val="004B6F6A"/>
    <w:rsid w:val="004B7C0C"/>
    <w:rsid w:val="004C3898"/>
    <w:rsid w:val="004D36B1"/>
    <w:rsid w:val="004D61B6"/>
    <w:rsid w:val="004D7EBD"/>
    <w:rsid w:val="004E2680"/>
    <w:rsid w:val="004E28F9"/>
    <w:rsid w:val="004E462E"/>
    <w:rsid w:val="004E56DC"/>
    <w:rsid w:val="004E76F4"/>
    <w:rsid w:val="004F02BB"/>
    <w:rsid w:val="004F0B4E"/>
    <w:rsid w:val="004F0B6C"/>
    <w:rsid w:val="004F2078"/>
    <w:rsid w:val="004F4DA3"/>
    <w:rsid w:val="00502F4C"/>
    <w:rsid w:val="00506557"/>
    <w:rsid w:val="0050677A"/>
    <w:rsid w:val="00506F19"/>
    <w:rsid w:val="005108D8"/>
    <w:rsid w:val="00511222"/>
    <w:rsid w:val="005116F9"/>
    <w:rsid w:val="005153A7"/>
    <w:rsid w:val="005219CF"/>
    <w:rsid w:val="0053326E"/>
    <w:rsid w:val="00534B59"/>
    <w:rsid w:val="00536759"/>
    <w:rsid w:val="00537036"/>
    <w:rsid w:val="00537C62"/>
    <w:rsid w:val="005463C0"/>
    <w:rsid w:val="00546970"/>
    <w:rsid w:val="005540EA"/>
    <w:rsid w:val="00554E19"/>
    <w:rsid w:val="00557B42"/>
    <w:rsid w:val="0056121F"/>
    <w:rsid w:val="0057215D"/>
    <w:rsid w:val="00572505"/>
    <w:rsid w:val="00580A57"/>
    <w:rsid w:val="00582809"/>
    <w:rsid w:val="0058798C"/>
    <w:rsid w:val="005900FA"/>
    <w:rsid w:val="005935A4"/>
    <w:rsid w:val="005948C2"/>
    <w:rsid w:val="00595DCA"/>
    <w:rsid w:val="0059779B"/>
    <w:rsid w:val="005A209A"/>
    <w:rsid w:val="005A31ED"/>
    <w:rsid w:val="005A5379"/>
    <w:rsid w:val="005A662D"/>
    <w:rsid w:val="005B1409"/>
    <w:rsid w:val="005B35D7"/>
    <w:rsid w:val="005B392A"/>
    <w:rsid w:val="005B3AA3"/>
    <w:rsid w:val="005B5C79"/>
    <w:rsid w:val="005B69D8"/>
    <w:rsid w:val="005B6DC9"/>
    <w:rsid w:val="005B6F83"/>
    <w:rsid w:val="005C2838"/>
    <w:rsid w:val="005C6A88"/>
    <w:rsid w:val="005C74FB"/>
    <w:rsid w:val="005D1602"/>
    <w:rsid w:val="005D66A0"/>
    <w:rsid w:val="005E385F"/>
    <w:rsid w:val="005E5B81"/>
    <w:rsid w:val="005E76A9"/>
    <w:rsid w:val="005F1EEE"/>
    <w:rsid w:val="005F2CB1"/>
    <w:rsid w:val="005F3025"/>
    <w:rsid w:val="005F618C"/>
    <w:rsid w:val="005F6896"/>
    <w:rsid w:val="005F70BD"/>
    <w:rsid w:val="0060283C"/>
    <w:rsid w:val="00604F14"/>
    <w:rsid w:val="0060618B"/>
    <w:rsid w:val="00611B83"/>
    <w:rsid w:val="00613257"/>
    <w:rsid w:val="006176F2"/>
    <w:rsid w:val="00620A71"/>
    <w:rsid w:val="00620D80"/>
    <w:rsid w:val="006224F1"/>
    <w:rsid w:val="006234A6"/>
    <w:rsid w:val="006238F7"/>
    <w:rsid w:val="00630001"/>
    <w:rsid w:val="0063076C"/>
    <w:rsid w:val="006311B3"/>
    <w:rsid w:val="0063284C"/>
    <w:rsid w:val="0063437A"/>
    <w:rsid w:val="00634C1C"/>
    <w:rsid w:val="00636398"/>
    <w:rsid w:val="006368D3"/>
    <w:rsid w:val="006377EC"/>
    <w:rsid w:val="0064151F"/>
    <w:rsid w:val="00641533"/>
    <w:rsid w:val="0064208D"/>
    <w:rsid w:val="00643475"/>
    <w:rsid w:val="0064396A"/>
    <w:rsid w:val="0064624E"/>
    <w:rsid w:val="00650A7F"/>
    <w:rsid w:val="00650AB9"/>
    <w:rsid w:val="00655733"/>
    <w:rsid w:val="00655ACD"/>
    <w:rsid w:val="00656239"/>
    <w:rsid w:val="00656A92"/>
    <w:rsid w:val="00656DDE"/>
    <w:rsid w:val="0066011D"/>
    <w:rsid w:val="006607C0"/>
    <w:rsid w:val="006613A6"/>
    <w:rsid w:val="006627A2"/>
    <w:rsid w:val="006634E6"/>
    <w:rsid w:val="006655EE"/>
    <w:rsid w:val="00667EE7"/>
    <w:rsid w:val="00667FF8"/>
    <w:rsid w:val="00670922"/>
    <w:rsid w:val="00670BE1"/>
    <w:rsid w:val="0067218F"/>
    <w:rsid w:val="006741F2"/>
    <w:rsid w:val="00674CC3"/>
    <w:rsid w:val="006759A4"/>
    <w:rsid w:val="00675C72"/>
    <w:rsid w:val="006771F9"/>
    <w:rsid w:val="006776D7"/>
    <w:rsid w:val="00681003"/>
    <w:rsid w:val="00681413"/>
    <w:rsid w:val="006817C9"/>
    <w:rsid w:val="00683ECE"/>
    <w:rsid w:val="00695702"/>
    <w:rsid w:val="00695FC2"/>
    <w:rsid w:val="00696949"/>
    <w:rsid w:val="00697052"/>
    <w:rsid w:val="006A43A4"/>
    <w:rsid w:val="006A46FB"/>
    <w:rsid w:val="006A5E28"/>
    <w:rsid w:val="006A63AB"/>
    <w:rsid w:val="006A697B"/>
    <w:rsid w:val="006A69CB"/>
    <w:rsid w:val="006A7AFF"/>
    <w:rsid w:val="006B02EF"/>
    <w:rsid w:val="006B1816"/>
    <w:rsid w:val="006B2099"/>
    <w:rsid w:val="006B50CF"/>
    <w:rsid w:val="006C03B8"/>
    <w:rsid w:val="006C5EC9"/>
    <w:rsid w:val="006C6059"/>
    <w:rsid w:val="006C7522"/>
    <w:rsid w:val="006D0241"/>
    <w:rsid w:val="006D099A"/>
    <w:rsid w:val="006D6F08"/>
    <w:rsid w:val="006E062C"/>
    <w:rsid w:val="006E1C82"/>
    <w:rsid w:val="006E28B7"/>
    <w:rsid w:val="006E2A9B"/>
    <w:rsid w:val="006E3310"/>
    <w:rsid w:val="006E4E39"/>
    <w:rsid w:val="006E565E"/>
    <w:rsid w:val="006E673D"/>
    <w:rsid w:val="006E7D3B"/>
    <w:rsid w:val="006F1051"/>
    <w:rsid w:val="006F1B70"/>
    <w:rsid w:val="006F341D"/>
    <w:rsid w:val="006F3CDE"/>
    <w:rsid w:val="006F44E4"/>
    <w:rsid w:val="006F5042"/>
    <w:rsid w:val="006F58D4"/>
    <w:rsid w:val="006F6582"/>
    <w:rsid w:val="00702697"/>
    <w:rsid w:val="0070346E"/>
    <w:rsid w:val="00704EDB"/>
    <w:rsid w:val="00706101"/>
    <w:rsid w:val="00707072"/>
    <w:rsid w:val="00707D61"/>
    <w:rsid w:val="00707E69"/>
    <w:rsid w:val="00712287"/>
    <w:rsid w:val="00712772"/>
    <w:rsid w:val="00713AB7"/>
    <w:rsid w:val="007148D3"/>
    <w:rsid w:val="00715B9A"/>
    <w:rsid w:val="007257D0"/>
    <w:rsid w:val="00726EA6"/>
    <w:rsid w:val="00727208"/>
    <w:rsid w:val="00727680"/>
    <w:rsid w:val="007348B1"/>
    <w:rsid w:val="007362A6"/>
    <w:rsid w:val="00736D7D"/>
    <w:rsid w:val="00740E58"/>
    <w:rsid w:val="007445A0"/>
    <w:rsid w:val="0074524B"/>
    <w:rsid w:val="007469DE"/>
    <w:rsid w:val="00747D8B"/>
    <w:rsid w:val="007506BC"/>
    <w:rsid w:val="00751228"/>
    <w:rsid w:val="007571E1"/>
    <w:rsid w:val="007604B2"/>
    <w:rsid w:val="007631AD"/>
    <w:rsid w:val="00765281"/>
    <w:rsid w:val="00766BAD"/>
    <w:rsid w:val="007729A2"/>
    <w:rsid w:val="00772C6D"/>
    <w:rsid w:val="007755F2"/>
    <w:rsid w:val="00775FC8"/>
    <w:rsid w:val="00776971"/>
    <w:rsid w:val="00780A80"/>
    <w:rsid w:val="0078177E"/>
    <w:rsid w:val="0078304C"/>
    <w:rsid w:val="00783673"/>
    <w:rsid w:val="00785490"/>
    <w:rsid w:val="007857F4"/>
    <w:rsid w:val="007925EA"/>
    <w:rsid w:val="00793CD8"/>
    <w:rsid w:val="00795C92"/>
    <w:rsid w:val="00796231"/>
    <w:rsid w:val="007A1CB3"/>
    <w:rsid w:val="007A306F"/>
    <w:rsid w:val="007A43A6"/>
    <w:rsid w:val="007A58A6"/>
    <w:rsid w:val="007B3D2D"/>
    <w:rsid w:val="007B50AE"/>
    <w:rsid w:val="007B51DF"/>
    <w:rsid w:val="007C05DD"/>
    <w:rsid w:val="007C2309"/>
    <w:rsid w:val="007C3D18"/>
    <w:rsid w:val="007C58F3"/>
    <w:rsid w:val="007C60BF"/>
    <w:rsid w:val="007C6A07"/>
    <w:rsid w:val="007C75A1"/>
    <w:rsid w:val="007C77A5"/>
    <w:rsid w:val="007D04E5"/>
    <w:rsid w:val="007D28AC"/>
    <w:rsid w:val="007D4CB0"/>
    <w:rsid w:val="007D5901"/>
    <w:rsid w:val="007D73F4"/>
    <w:rsid w:val="007D7526"/>
    <w:rsid w:val="007E11ED"/>
    <w:rsid w:val="007E1C99"/>
    <w:rsid w:val="007E4610"/>
    <w:rsid w:val="007E4715"/>
    <w:rsid w:val="007E505B"/>
    <w:rsid w:val="007E7091"/>
    <w:rsid w:val="007E7767"/>
    <w:rsid w:val="007E7B79"/>
    <w:rsid w:val="007F0114"/>
    <w:rsid w:val="007F471B"/>
    <w:rsid w:val="007F5932"/>
    <w:rsid w:val="007F6D9F"/>
    <w:rsid w:val="00802DFF"/>
    <w:rsid w:val="00803FAE"/>
    <w:rsid w:val="0080605F"/>
    <w:rsid w:val="00807786"/>
    <w:rsid w:val="00811123"/>
    <w:rsid w:val="00811FCB"/>
    <w:rsid w:val="008158D6"/>
    <w:rsid w:val="00817196"/>
    <w:rsid w:val="00820D3F"/>
    <w:rsid w:val="00822540"/>
    <w:rsid w:val="008235DB"/>
    <w:rsid w:val="008246AA"/>
    <w:rsid w:val="00824AB4"/>
    <w:rsid w:val="00825C42"/>
    <w:rsid w:val="00825D25"/>
    <w:rsid w:val="00827D6F"/>
    <w:rsid w:val="008376AC"/>
    <w:rsid w:val="00843099"/>
    <w:rsid w:val="008444E8"/>
    <w:rsid w:val="0084474D"/>
    <w:rsid w:val="00844E80"/>
    <w:rsid w:val="00846FE7"/>
    <w:rsid w:val="0085142D"/>
    <w:rsid w:val="00853324"/>
    <w:rsid w:val="00855C53"/>
    <w:rsid w:val="00856911"/>
    <w:rsid w:val="00864BA0"/>
    <w:rsid w:val="00866CB0"/>
    <w:rsid w:val="008677FD"/>
    <w:rsid w:val="008706D4"/>
    <w:rsid w:val="00870F8A"/>
    <w:rsid w:val="008719A4"/>
    <w:rsid w:val="00871D23"/>
    <w:rsid w:val="00874312"/>
    <w:rsid w:val="0087437C"/>
    <w:rsid w:val="00875CD7"/>
    <w:rsid w:val="00876B4D"/>
    <w:rsid w:val="00877F18"/>
    <w:rsid w:val="00881638"/>
    <w:rsid w:val="00884ABD"/>
    <w:rsid w:val="00885816"/>
    <w:rsid w:val="00886756"/>
    <w:rsid w:val="008941E3"/>
    <w:rsid w:val="00894A88"/>
    <w:rsid w:val="00895386"/>
    <w:rsid w:val="008A06A9"/>
    <w:rsid w:val="008A21FF"/>
    <w:rsid w:val="008A2CE2"/>
    <w:rsid w:val="008A30AC"/>
    <w:rsid w:val="008A44B8"/>
    <w:rsid w:val="008A51A8"/>
    <w:rsid w:val="008A54C7"/>
    <w:rsid w:val="008A6F8A"/>
    <w:rsid w:val="008A77D8"/>
    <w:rsid w:val="008B0483"/>
    <w:rsid w:val="008B120C"/>
    <w:rsid w:val="008B51A0"/>
    <w:rsid w:val="008B592A"/>
    <w:rsid w:val="008B6D51"/>
    <w:rsid w:val="008B7B5C"/>
    <w:rsid w:val="008C0C99"/>
    <w:rsid w:val="008C2017"/>
    <w:rsid w:val="008C264F"/>
    <w:rsid w:val="008C4958"/>
    <w:rsid w:val="008C4BAA"/>
    <w:rsid w:val="008C5F58"/>
    <w:rsid w:val="008C6AE8"/>
    <w:rsid w:val="008C7573"/>
    <w:rsid w:val="008D00A5"/>
    <w:rsid w:val="008D34F1"/>
    <w:rsid w:val="008D39D8"/>
    <w:rsid w:val="008D6D1A"/>
    <w:rsid w:val="008E065E"/>
    <w:rsid w:val="008E0927"/>
    <w:rsid w:val="008E1909"/>
    <w:rsid w:val="008E28A7"/>
    <w:rsid w:val="008F036E"/>
    <w:rsid w:val="008F1C4E"/>
    <w:rsid w:val="008F1EAB"/>
    <w:rsid w:val="008F33DC"/>
    <w:rsid w:val="008F477F"/>
    <w:rsid w:val="00901C2F"/>
    <w:rsid w:val="00902350"/>
    <w:rsid w:val="0090336B"/>
    <w:rsid w:val="00903B7F"/>
    <w:rsid w:val="009053AA"/>
    <w:rsid w:val="00906939"/>
    <w:rsid w:val="0091029C"/>
    <w:rsid w:val="00910642"/>
    <w:rsid w:val="00910B7D"/>
    <w:rsid w:val="00911DFB"/>
    <w:rsid w:val="009139D9"/>
    <w:rsid w:val="00914AD8"/>
    <w:rsid w:val="00916079"/>
    <w:rsid w:val="00917CE9"/>
    <w:rsid w:val="00920BF2"/>
    <w:rsid w:val="00922010"/>
    <w:rsid w:val="00931BD9"/>
    <w:rsid w:val="009368F3"/>
    <w:rsid w:val="00941636"/>
    <w:rsid w:val="00943742"/>
    <w:rsid w:val="00945C05"/>
    <w:rsid w:val="0094636F"/>
    <w:rsid w:val="00946945"/>
    <w:rsid w:val="00947713"/>
    <w:rsid w:val="00950DE7"/>
    <w:rsid w:val="009524A5"/>
    <w:rsid w:val="00953920"/>
    <w:rsid w:val="00953D47"/>
    <w:rsid w:val="00954DE7"/>
    <w:rsid w:val="0095681E"/>
    <w:rsid w:val="00956FAB"/>
    <w:rsid w:val="009572D4"/>
    <w:rsid w:val="00961921"/>
    <w:rsid w:val="0096430A"/>
    <w:rsid w:val="0096554B"/>
    <w:rsid w:val="0096584A"/>
    <w:rsid w:val="009713F6"/>
    <w:rsid w:val="00971F08"/>
    <w:rsid w:val="0097603D"/>
    <w:rsid w:val="00976949"/>
    <w:rsid w:val="00980477"/>
    <w:rsid w:val="00985253"/>
    <w:rsid w:val="009853B3"/>
    <w:rsid w:val="00990630"/>
    <w:rsid w:val="0099108E"/>
    <w:rsid w:val="00991761"/>
    <w:rsid w:val="00993B28"/>
    <w:rsid w:val="00994DCA"/>
    <w:rsid w:val="009960EC"/>
    <w:rsid w:val="009970DD"/>
    <w:rsid w:val="009A0FBA"/>
    <w:rsid w:val="009A1601"/>
    <w:rsid w:val="009A3BB6"/>
    <w:rsid w:val="009A462D"/>
    <w:rsid w:val="009A4B36"/>
    <w:rsid w:val="009A5CBA"/>
    <w:rsid w:val="009A5DA9"/>
    <w:rsid w:val="009A76B2"/>
    <w:rsid w:val="009B1F30"/>
    <w:rsid w:val="009B3AC2"/>
    <w:rsid w:val="009B4DF4"/>
    <w:rsid w:val="009B564E"/>
    <w:rsid w:val="009B7E87"/>
    <w:rsid w:val="009C0169"/>
    <w:rsid w:val="009C403E"/>
    <w:rsid w:val="009D4FF0"/>
    <w:rsid w:val="009D703C"/>
    <w:rsid w:val="009D7058"/>
    <w:rsid w:val="009D718F"/>
    <w:rsid w:val="009E068F"/>
    <w:rsid w:val="009E14E0"/>
    <w:rsid w:val="009E35DB"/>
    <w:rsid w:val="009E47A3"/>
    <w:rsid w:val="009E5BA1"/>
    <w:rsid w:val="009E6C59"/>
    <w:rsid w:val="009E78B6"/>
    <w:rsid w:val="009F08F3"/>
    <w:rsid w:val="009F344F"/>
    <w:rsid w:val="009F7895"/>
    <w:rsid w:val="00A02380"/>
    <w:rsid w:val="00A031D8"/>
    <w:rsid w:val="00A048A8"/>
    <w:rsid w:val="00A04F49"/>
    <w:rsid w:val="00A108A4"/>
    <w:rsid w:val="00A13E54"/>
    <w:rsid w:val="00A17F63"/>
    <w:rsid w:val="00A2154F"/>
    <w:rsid w:val="00A2193B"/>
    <w:rsid w:val="00A2351A"/>
    <w:rsid w:val="00A264A9"/>
    <w:rsid w:val="00A26DCF"/>
    <w:rsid w:val="00A27785"/>
    <w:rsid w:val="00A30187"/>
    <w:rsid w:val="00A335F9"/>
    <w:rsid w:val="00A3448A"/>
    <w:rsid w:val="00A35731"/>
    <w:rsid w:val="00A36297"/>
    <w:rsid w:val="00A368BC"/>
    <w:rsid w:val="00A41E2B"/>
    <w:rsid w:val="00A4476A"/>
    <w:rsid w:val="00A45B74"/>
    <w:rsid w:val="00A521B6"/>
    <w:rsid w:val="00A52E1D"/>
    <w:rsid w:val="00A56B79"/>
    <w:rsid w:val="00A61499"/>
    <w:rsid w:val="00A62A77"/>
    <w:rsid w:val="00A63483"/>
    <w:rsid w:val="00A657D7"/>
    <w:rsid w:val="00A660AC"/>
    <w:rsid w:val="00A67E6C"/>
    <w:rsid w:val="00A71B99"/>
    <w:rsid w:val="00A739D0"/>
    <w:rsid w:val="00A761D4"/>
    <w:rsid w:val="00A77EC4"/>
    <w:rsid w:val="00A92879"/>
    <w:rsid w:val="00A9442A"/>
    <w:rsid w:val="00A97C6A"/>
    <w:rsid w:val="00AA016F"/>
    <w:rsid w:val="00AA1ED6"/>
    <w:rsid w:val="00AA51D6"/>
    <w:rsid w:val="00AB0BC8"/>
    <w:rsid w:val="00AB11CA"/>
    <w:rsid w:val="00AB14D9"/>
    <w:rsid w:val="00AB4AB8"/>
    <w:rsid w:val="00AB5ED2"/>
    <w:rsid w:val="00AB655E"/>
    <w:rsid w:val="00AC007F"/>
    <w:rsid w:val="00AC2ECD"/>
    <w:rsid w:val="00AC3119"/>
    <w:rsid w:val="00AC49FB"/>
    <w:rsid w:val="00AC5233"/>
    <w:rsid w:val="00AC5A10"/>
    <w:rsid w:val="00AD0AA3"/>
    <w:rsid w:val="00AD2ED0"/>
    <w:rsid w:val="00AD3F94"/>
    <w:rsid w:val="00AD4A5A"/>
    <w:rsid w:val="00AD57C6"/>
    <w:rsid w:val="00AE0BF4"/>
    <w:rsid w:val="00AE27AC"/>
    <w:rsid w:val="00AE40E0"/>
    <w:rsid w:val="00AE4DBA"/>
    <w:rsid w:val="00AE4F07"/>
    <w:rsid w:val="00AE5280"/>
    <w:rsid w:val="00AE6252"/>
    <w:rsid w:val="00AF1C5D"/>
    <w:rsid w:val="00AF42D7"/>
    <w:rsid w:val="00AF7B29"/>
    <w:rsid w:val="00B006FE"/>
    <w:rsid w:val="00B007CB"/>
    <w:rsid w:val="00B019AD"/>
    <w:rsid w:val="00B02AA9"/>
    <w:rsid w:val="00B02FA3"/>
    <w:rsid w:val="00B05084"/>
    <w:rsid w:val="00B130B6"/>
    <w:rsid w:val="00B15560"/>
    <w:rsid w:val="00B157F9"/>
    <w:rsid w:val="00B16227"/>
    <w:rsid w:val="00B20256"/>
    <w:rsid w:val="00B20D09"/>
    <w:rsid w:val="00B22896"/>
    <w:rsid w:val="00B2763F"/>
    <w:rsid w:val="00B27AAC"/>
    <w:rsid w:val="00B30929"/>
    <w:rsid w:val="00B372AA"/>
    <w:rsid w:val="00B37364"/>
    <w:rsid w:val="00B40445"/>
    <w:rsid w:val="00B409E0"/>
    <w:rsid w:val="00B41888"/>
    <w:rsid w:val="00B44757"/>
    <w:rsid w:val="00B45A52"/>
    <w:rsid w:val="00B46175"/>
    <w:rsid w:val="00B5099C"/>
    <w:rsid w:val="00B548B7"/>
    <w:rsid w:val="00B54B1D"/>
    <w:rsid w:val="00B664C7"/>
    <w:rsid w:val="00B713BB"/>
    <w:rsid w:val="00B71502"/>
    <w:rsid w:val="00B739F6"/>
    <w:rsid w:val="00B81A6C"/>
    <w:rsid w:val="00B843EE"/>
    <w:rsid w:val="00B85DE5"/>
    <w:rsid w:val="00B90F73"/>
    <w:rsid w:val="00B93B59"/>
    <w:rsid w:val="00B9406A"/>
    <w:rsid w:val="00BA2280"/>
    <w:rsid w:val="00BA2A08"/>
    <w:rsid w:val="00BA4AAD"/>
    <w:rsid w:val="00BA56D2"/>
    <w:rsid w:val="00BA7239"/>
    <w:rsid w:val="00BA76E0"/>
    <w:rsid w:val="00BB2A25"/>
    <w:rsid w:val="00BB51E9"/>
    <w:rsid w:val="00BC069E"/>
    <w:rsid w:val="00BC0FDC"/>
    <w:rsid w:val="00BC3053"/>
    <w:rsid w:val="00BC4D2E"/>
    <w:rsid w:val="00BD48AC"/>
    <w:rsid w:val="00BD5ACC"/>
    <w:rsid w:val="00BD5F1A"/>
    <w:rsid w:val="00BE113B"/>
    <w:rsid w:val="00BE1234"/>
    <w:rsid w:val="00BE2FA6"/>
    <w:rsid w:val="00BE333F"/>
    <w:rsid w:val="00BE3B9E"/>
    <w:rsid w:val="00BE6AE5"/>
    <w:rsid w:val="00BE7406"/>
    <w:rsid w:val="00BE7603"/>
    <w:rsid w:val="00BF3279"/>
    <w:rsid w:val="00BF74C7"/>
    <w:rsid w:val="00C015F1"/>
    <w:rsid w:val="00C01F33"/>
    <w:rsid w:val="00C026A6"/>
    <w:rsid w:val="00C02CC6"/>
    <w:rsid w:val="00C0360F"/>
    <w:rsid w:val="00C040F7"/>
    <w:rsid w:val="00C044AB"/>
    <w:rsid w:val="00C05706"/>
    <w:rsid w:val="00C07377"/>
    <w:rsid w:val="00C073F0"/>
    <w:rsid w:val="00C10478"/>
    <w:rsid w:val="00C12107"/>
    <w:rsid w:val="00C12685"/>
    <w:rsid w:val="00C14D4B"/>
    <w:rsid w:val="00C154BB"/>
    <w:rsid w:val="00C20FB9"/>
    <w:rsid w:val="00C252E1"/>
    <w:rsid w:val="00C279B5"/>
    <w:rsid w:val="00C27C45"/>
    <w:rsid w:val="00C3719D"/>
    <w:rsid w:val="00C37CB2"/>
    <w:rsid w:val="00C4139E"/>
    <w:rsid w:val="00C414E1"/>
    <w:rsid w:val="00C473A5"/>
    <w:rsid w:val="00C52317"/>
    <w:rsid w:val="00C54995"/>
    <w:rsid w:val="00C54D41"/>
    <w:rsid w:val="00C55047"/>
    <w:rsid w:val="00C60783"/>
    <w:rsid w:val="00C64672"/>
    <w:rsid w:val="00C70697"/>
    <w:rsid w:val="00C72093"/>
    <w:rsid w:val="00C72EF4"/>
    <w:rsid w:val="00C744FE"/>
    <w:rsid w:val="00C74FB7"/>
    <w:rsid w:val="00C75D2F"/>
    <w:rsid w:val="00C767BE"/>
    <w:rsid w:val="00C76E3C"/>
    <w:rsid w:val="00C81568"/>
    <w:rsid w:val="00C9027A"/>
    <w:rsid w:val="00C9068E"/>
    <w:rsid w:val="00C93814"/>
    <w:rsid w:val="00C93C4B"/>
    <w:rsid w:val="00C944AB"/>
    <w:rsid w:val="00C95B40"/>
    <w:rsid w:val="00CA0745"/>
    <w:rsid w:val="00CA1ED8"/>
    <w:rsid w:val="00CA549E"/>
    <w:rsid w:val="00CA599B"/>
    <w:rsid w:val="00CB1F63"/>
    <w:rsid w:val="00CB4E20"/>
    <w:rsid w:val="00CB656B"/>
    <w:rsid w:val="00CB7170"/>
    <w:rsid w:val="00CC00D5"/>
    <w:rsid w:val="00CC040E"/>
    <w:rsid w:val="00CC111F"/>
    <w:rsid w:val="00CC2011"/>
    <w:rsid w:val="00CC346F"/>
    <w:rsid w:val="00CC3EA0"/>
    <w:rsid w:val="00CC75B4"/>
    <w:rsid w:val="00CC7B45"/>
    <w:rsid w:val="00CC7DD3"/>
    <w:rsid w:val="00CD1188"/>
    <w:rsid w:val="00CD2ED1"/>
    <w:rsid w:val="00CD337B"/>
    <w:rsid w:val="00CD6E0C"/>
    <w:rsid w:val="00CE0424"/>
    <w:rsid w:val="00CE0BF7"/>
    <w:rsid w:val="00CE7561"/>
    <w:rsid w:val="00CF1354"/>
    <w:rsid w:val="00CF1D5F"/>
    <w:rsid w:val="00CF3B1F"/>
    <w:rsid w:val="00CF3BF6"/>
    <w:rsid w:val="00CF625B"/>
    <w:rsid w:val="00CF687E"/>
    <w:rsid w:val="00D00268"/>
    <w:rsid w:val="00D00C97"/>
    <w:rsid w:val="00D03391"/>
    <w:rsid w:val="00D0349B"/>
    <w:rsid w:val="00D046A4"/>
    <w:rsid w:val="00D0613F"/>
    <w:rsid w:val="00D10249"/>
    <w:rsid w:val="00D115C3"/>
    <w:rsid w:val="00D11897"/>
    <w:rsid w:val="00D13135"/>
    <w:rsid w:val="00D132D3"/>
    <w:rsid w:val="00D13E4E"/>
    <w:rsid w:val="00D218DD"/>
    <w:rsid w:val="00D22AD6"/>
    <w:rsid w:val="00D239A7"/>
    <w:rsid w:val="00D23F47"/>
    <w:rsid w:val="00D26948"/>
    <w:rsid w:val="00D36E71"/>
    <w:rsid w:val="00D37D87"/>
    <w:rsid w:val="00D40B33"/>
    <w:rsid w:val="00D41686"/>
    <w:rsid w:val="00D4318F"/>
    <w:rsid w:val="00D438BF"/>
    <w:rsid w:val="00D440F8"/>
    <w:rsid w:val="00D471F1"/>
    <w:rsid w:val="00D51F79"/>
    <w:rsid w:val="00D546FF"/>
    <w:rsid w:val="00D55AD5"/>
    <w:rsid w:val="00D576CA"/>
    <w:rsid w:val="00D61AF5"/>
    <w:rsid w:val="00D652B5"/>
    <w:rsid w:val="00D66155"/>
    <w:rsid w:val="00D708B0"/>
    <w:rsid w:val="00D720C9"/>
    <w:rsid w:val="00D77B1D"/>
    <w:rsid w:val="00D8021F"/>
    <w:rsid w:val="00D80383"/>
    <w:rsid w:val="00D82156"/>
    <w:rsid w:val="00D823C6"/>
    <w:rsid w:val="00D8327F"/>
    <w:rsid w:val="00D84BAD"/>
    <w:rsid w:val="00D8666C"/>
    <w:rsid w:val="00D86CA3"/>
    <w:rsid w:val="00D871CE"/>
    <w:rsid w:val="00D9196D"/>
    <w:rsid w:val="00D923F8"/>
    <w:rsid w:val="00D92982"/>
    <w:rsid w:val="00D93B60"/>
    <w:rsid w:val="00D9451A"/>
    <w:rsid w:val="00D955FF"/>
    <w:rsid w:val="00DA305E"/>
    <w:rsid w:val="00DA5417"/>
    <w:rsid w:val="00DA56E8"/>
    <w:rsid w:val="00DB0A9F"/>
    <w:rsid w:val="00DB377D"/>
    <w:rsid w:val="00DB73BA"/>
    <w:rsid w:val="00DC2D36"/>
    <w:rsid w:val="00DC53EF"/>
    <w:rsid w:val="00DC5827"/>
    <w:rsid w:val="00DE03BE"/>
    <w:rsid w:val="00DE5608"/>
    <w:rsid w:val="00DE58D0"/>
    <w:rsid w:val="00DE654F"/>
    <w:rsid w:val="00DF0B6E"/>
    <w:rsid w:val="00DF15E0"/>
    <w:rsid w:val="00DF1633"/>
    <w:rsid w:val="00DF3743"/>
    <w:rsid w:val="00DF37A0"/>
    <w:rsid w:val="00DF46E8"/>
    <w:rsid w:val="00DF4F27"/>
    <w:rsid w:val="00E10787"/>
    <w:rsid w:val="00E110E7"/>
    <w:rsid w:val="00E11B20"/>
    <w:rsid w:val="00E15E56"/>
    <w:rsid w:val="00E17FA2"/>
    <w:rsid w:val="00E2198C"/>
    <w:rsid w:val="00E22330"/>
    <w:rsid w:val="00E30B5A"/>
    <w:rsid w:val="00E3123D"/>
    <w:rsid w:val="00E31461"/>
    <w:rsid w:val="00E31D43"/>
    <w:rsid w:val="00E32608"/>
    <w:rsid w:val="00E33012"/>
    <w:rsid w:val="00E34188"/>
    <w:rsid w:val="00E34B6E"/>
    <w:rsid w:val="00E35559"/>
    <w:rsid w:val="00E3723A"/>
    <w:rsid w:val="00E37860"/>
    <w:rsid w:val="00E446F1"/>
    <w:rsid w:val="00E46886"/>
    <w:rsid w:val="00E47AEF"/>
    <w:rsid w:val="00E51532"/>
    <w:rsid w:val="00E53B75"/>
    <w:rsid w:val="00E54E3B"/>
    <w:rsid w:val="00E57565"/>
    <w:rsid w:val="00E63838"/>
    <w:rsid w:val="00E64434"/>
    <w:rsid w:val="00E67C51"/>
    <w:rsid w:val="00E71BB2"/>
    <w:rsid w:val="00E72EFC"/>
    <w:rsid w:val="00E7530D"/>
    <w:rsid w:val="00E758EC"/>
    <w:rsid w:val="00E7628E"/>
    <w:rsid w:val="00E8234C"/>
    <w:rsid w:val="00E83AA9"/>
    <w:rsid w:val="00E85928"/>
    <w:rsid w:val="00E87822"/>
    <w:rsid w:val="00E90395"/>
    <w:rsid w:val="00E90E49"/>
    <w:rsid w:val="00E917F9"/>
    <w:rsid w:val="00E927D4"/>
    <w:rsid w:val="00E9291C"/>
    <w:rsid w:val="00E93FFE"/>
    <w:rsid w:val="00E94F8A"/>
    <w:rsid w:val="00EA281C"/>
    <w:rsid w:val="00EA4FA3"/>
    <w:rsid w:val="00EA7A41"/>
    <w:rsid w:val="00EB077B"/>
    <w:rsid w:val="00EB0C62"/>
    <w:rsid w:val="00EB4EA2"/>
    <w:rsid w:val="00EC1945"/>
    <w:rsid w:val="00EC24D5"/>
    <w:rsid w:val="00EC27C6"/>
    <w:rsid w:val="00EC4207"/>
    <w:rsid w:val="00EC5653"/>
    <w:rsid w:val="00EC71CE"/>
    <w:rsid w:val="00EC7436"/>
    <w:rsid w:val="00ED1006"/>
    <w:rsid w:val="00EE3F22"/>
    <w:rsid w:val="00EF18FE"/>
    <w:rsid w:val="00EF5787"/>
    <w:rsid w:val="00EF60D0"/>
    <w:rsid w:val="00F0528D"/>
    <w:rsid w:val="00F05D4C"/>
    <w:rsid w:val="00F06C67"/>
    <w:rsid w:val="00F06DFD"/>
    <w:rsid w:val="00F071D1"/>
    <w:rsid w:val="00F07533"/>
    <w:rsid w:val="00F10629"/>
    <w:rsid w:val="00F13134"/>
    <w:rsid w:val="00F15FA5"/>
    <w:rsid w:val="00F209B7"/>
    <w:rsid w:val="00F2376F"/>
    <w:rsid w:val="00F243D8"/>
    <w:rsid w:val="00F30828"/>
    <w:rsid w:val="00F313D6"/>
    <w:rsid w:val="00F3775F"/>
    <w:rsid w:val="00F40F0C"/>
    <w:rsid w:val="00F4705A"/>
    <w:rsid w:val="00F4766C"/>
    <w:rsid w:val="00F4780F"/>
    <w:rsid w:val="00F47DC0"/>
    <w:rsid w:val="00F5060E"/>
    <w:rsid w:val="00F507D1"/>
    <w:rsid w:val="00F519CE"/>
    <w:rsid w:val="00F51ADA"/>
    <w:rsid w:val="00F57D64"/>
    <w:rsid w:val="00F60203"/>
    <w:rsid w:val="00F607C5"/>
    <w:rsid w:val="00F60DEA"/>
    <w:rsid w:val="00F6302A"/>
    <w:rsid w:val="00F63950"/>
    <w:rsid w:val="00F64C2B"/>
    <w:rsid w:val="00F651BE"/>
    <w:rsid w:val="00F67F53"/>
    <w:rsid w:val="00F703BE"/>
    <w:rsid w:val="00F71F69"/>
    <w:rsid w:val="00F72B72"/>
    <w:rsid w:val="00F74BB9"/>
    <w:rsid w:val="00F75582"/>
    <w:rsid w:val="00F767CD"/>
    <w:rsid w:val="00F76EFA"/>
    <w:rsid w:val="00F804BE"/>
    <w:rsid w:val="00F817CE"/>
    <w:rsid w:val="00F8456C"/>
    <w:rsid w:val="00F84B34"/>
    <w:rsid w:val="00F859D8"/>
    <w:rsid w:val="00F868F5"/>
    <w:rsid w:val="00F9056A"/>
    <w:rsid w:val="00F90F8D"/>
    <w:rsid w:val="00F92782"/>
    <w:rsid w:val="00F92F94"/>
    <w:rsid w:val="00F93AA9"/>
    <w:rsid w:val="00F96985"/>
    <w:rsid w:val="00F96CD4"/>
    <w:rsid w:val="00F97838"/>
    <w:rsid w:val="00FA29A0"/>
    <w:rsid w:val="00FA2BB3"/>
    <w:rsid w:val="00FB4C80"/>
    <w:rsid w:val="00FB51D6"/>
    <w:rsid w:val="00FB6A6A"/>
    <w:rsid w:val="00FC27B4"/>
    <w:rsid w:val="00FC4C57"/>
    <w:rsid w:val="00FC7429"/>
    <w:rsid w:val="00FD07F6"/>
    <w:rsid w:val="00FD1EC8"/>
    <w:rsid w:val="00FD47ED"/>
    <w:rsid w:val="00FD74DB"/>
    <w:rsid w:val="00FD7660"/>
    <w:rsid w:val="00FE0655"/>
    <w:rsid w:val="00FE0F1E"/>
    <w:rsid w:val="00FE2365"/>
    <w:rsid w:val="00FE37D7"/>
    <w:rsid w:val="00FE4C7B"/>
    <w:rsid w:val="00FE7336"/>
    <w:rsid w:val="00FE787C"/>
    <w:rsid w:val="00FF45A5"/>
    <w:rsid w:val="00FF5C91"/>
    <w:rsid w:val="00FF5D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024">
      <w:bodyDiv w:val="1"/>
      <w:marLeft w:val="0"/>
      <w:marRight w:val="0"/>
      <w:marTop w:val="0"/>
      <w:marBottom w:val="0"/>
      <w:divBdr>
        <w:top w:val="none" w:sz="0" w:space="0" w:color="auto"/>
        <w:left w:val="none" w:sz="0" w:space="0" w:color="auto"/>
        <w:bottom w:val="none" w:sz="0" w:space="0" w:color="auto"/>
        <w:right w:val="none" w:sz="0" w:space="0" w:color="auto"/>
      </w:divBdr>
    </w:div>
    <w:div w:id="187330158">
      <w:bodyDiv w:val="1"/>
      <w:marLeft w:val="0"/>
      <w:marRight w:val="0"/>
      <w:marTop w:val="0"/>
      <w:marBottom w:val="0"/>
      <w:divBdr>
        <w:top w:val="none" w:sz="0" w:space="0" w:color="auto"/>
        <w:left w:val="none" w:sz="0" w:space="0" w:color="auto"/>
        <w:bottom w:val="none" w:sz="0" w:space="0" w:color="auto"/>
        <w:right w:val="none" w:sz="0" w:space="0" w:color="auto"/>
      </w:divBdr>
    </w:div>
    <w:div w:id="214052917">
      <w:bodyDiv w:val="1"/>
      <w:marLeft w:val="0"/>
      <w:marRight w:val="0"/>
      <w:marTop w:val="0"/>
      <w:marBottom w:val="0"/>
      <w:divBdr>
        <w:top w:val="none" w:sz="0" w:space="0" w:color="auto"/>
        <w:left w:val="none" w:sz="0" w:space="0" w:color="auto"/>
        <w:bottom w:val="none" w:sz="0" w:space="0" w:color="auto"/>
        <w:right w:val="none" w:sz="0" w:space="0" w:color="auto"/>
      </w:divBdr>
    </w:div>
    <w:div w:id="138294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93F09-4D8C-4EF3-8AF4-316637497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1202</Words>
  <Characters>6858</Characters>
  <Application>Microsoft Office Word</Application>
  <DocSecurity>0</DocSecurity>
  <Lines>57</Lines>
  <Paragraphs>16</Paragraphs>
  <ScaleCrop>false</ScaleCrop>
  <Company/>
  <LinksUpToDate>false</LinksUpToDate>
  <CharactersWithSpaces>8044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2018-08-10T14:40:00Z</dcterms:created>
  <dcterms:modified xsi:type="dcterms:W3CDTF">2018-08-10T14:40:00Z</dcterms:modified>
  <cp:category/>
</cp:coreProperties>
</file>